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4902D" w14:textId="77777777" w:rsidR="006856B2" w:rsidRPr="00EB6540" w:rsidRDefault="004F7C1B" w:rsidP="006856B2">
      <w:pPr>
        <w:jc w:val="right"/>
        <w:rPr>
          <w:rFonts w:ascii="Calibri" w:hAnsi="Calibri" w:cs="Arial"/>
          <w:b/>
          <w:sz w:val="40"/>
          <w:szCs w:val="48"/>
        </w:rPr>
      </w:pPr>
      <w:r w:rsidRPr="004F7C1B">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25pt;height:81.75pt;visibility:visible">
            <v:imagedata r:id="rId8" o:title="Penn State logo" cropright="46776f"/>
          </v:shape>
        </w:pict>
      </w:r>
      <w:r w:rsidR="006856B2">
        <w:rPr>
          <w:rFonts w:ascii="Calibri" w:hAnsi="Calibri" w:cs="Arial"/>
          <w:b/>
          <w:sz w:val="40"/>
          <w:szCs w:val="48"/>
        </w:rPr>
        <w:t xml:space="preserve">                        </w:t>
      </w:r>
      <w:r w:rsidR="006856B2" w:rsidRPr="00EB6540">
        <w:rPr>
          <w:rFonts w:ascii="Calibri" w:hAnsi="Calibri" w:cs="Arial"/>
          <w:b/>
          <w:sz w:val="40"/>
          <w:szCs w:val="48"/>
        </w:rPr>
        <w:t>The Pennsylvania State University</w:t>
      </w:r>
    </w:p>
    <w:p w14:paraId="341C0962" w14:textId="77777777" w:rsidR="006856B2" w:rsidRDefault="006856B2" w:rsidP="006856B2">
      <w:pPr>
        <w:jc w:val="right"/>
        <w:rPr>
          <w:rFonts w:ascii="Calibri" w:hAnsi="Calibri" w:cs="Arial"/>
          <w:sz w:val="40"/>
          <w:szCs w:val="48"/>
        </w:rPr>
      </w:pPr>
      <w:r>
        <w:rPr>
          <w:rFonts w:ascii="Calibri" w:hAnsi="Calibri" w:cs="Arial"/>
          <w:b/>
          <w:sz w:val="40"/>
          <w:szCs w:val="48"/>
        </w:rPr>
        <w:t xml:space="preserve">SIMBA </w:t>
      </w:r>
      <w:r w:rsidRPr="006856B2">
        <w:rPr>
          <w:rFonts w:ascii="Calibri" w:hAnsi="Calibri" w:cs="Arial"/>
          <w:b/>
          <w:sz w:val="40"/>
          <w:szCs w:val="48"/>
        </w:rPr>
        <w:t>Hands-On Guide Alternative Format</w:t>
      </w:r>
      <w:r>
        <w:rPr>
          <w:rFonts w:ascii="Calibri" w:hAnsi="Calibri" w:cs="Arial"/>
          <w:b/>
          <w:sz w:val="40"/>
          <w:szCs w:val="48"/>
        </w:rPr>
        <w:t xml:space="preserve"> </w:t>
      </w:r>
    </w:p>
    <w:p w14:paraId="32A0B1F8" w14:textId="4DC45EAD" w:rsidR="006856B2" w:rsidRPr="00241854" w:rsidRDefault="006856B2" w:rsidP="006856B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1F5B74">
        <w:rPr>
          <w:rFonts w:ascii="Calibri" w:hAnsi="Calibri" w:cs="Arial"/>
          <w:b/>
          <w:bCs/>
          <w:sz w:val="40"/>
          <w:szCs w:val="48"/>
        </w:rPr>
        <w:fldChar w:fldCharType="separate"/>
      </w:r>
      <w:r w:rsidR="001F5B74">
        <w:rPr>
          <w:rFonts w:ascii="Calibri" w:hAnsi="Calibri" w:cs="Arial"/>
          <w:b/>
          <w:bCs/>
          <w:sz w:val="40"/>
          <w:szCs w:val="48"/>
        </w:rPr>
        <w:t>FV60_Park Vendor Invoice-Tax Withholding</w:t>
      </w:r>
      <w:r w:rsidRPr="00241854">
        <w:rPr>
          <w:rFonts w:ascii="Calibri" w:hAnsi="Calibri" w:cs="Arial"/>
          <w:b/>
          <w:bCs/>
          <w:sz w:val="40"/>
          <w:szCs w:val="48"/>
        </w:rPr>
        <w:fldChar w:fldCharType="end"/>
      </w:r>
    </w:p>
    <w:p w14:paraId="59D847DD" w14:textId="77777777" w:rsidR="00DD7D5D" w:rsidRDefault="00DD7D5D" w:rsidP="00DD7D5D">
      <w:pPr>
        <w:rPr>
          <w:rFonts w:ascii="Calibri" w:hAnsi="Calibri" w:cs="Arial"/>
          <w:sz w:val="40"/>
          <w:szCs w:val="48"/>
        </w:rPr>
      </w:pPr>
    </w:p>
    <w:p w14:paraId="5949E225" w14:textId="77777777" w:rsidR="006668D7" w:rsidRDefault="006668D7" w:rsidP="00DD7D5D">
      <w:pPr>
        <w:rPr>
          <w:rFonts w:ascii="Calibri" w:hAnsi="Calibri" w:cs="Arial"/>
          <w:sz w:val="40"/>
          <w:szCs w:val="48"/>
        </w:rPr>
      </w:pPr>
    </w:p>
    <w:p w14:paraId="02757EC3" w14:textId="77777777" w:rsidR="00E416A4" w:rsidRPr="00EB6540" w:rsidRDefault="00E416A4" w:rsidP="00DD7D5D">
      <w:pPr>
        <w:rPr>
          <w:rFonts w:ascii="Calibri" w:hAnsi="Calibri" w:cs="Arial"/>
          <w:sz w:val="40"/>
          <w:szCs w:val="48"/>
        </w:rPr>
      </w:pPr>
    </w:p>
    <w:p w14:paraId="708C9FBB" w14:textId="77777777" w:rsidR="00DD7D5D" w:rsidRDefault="00DD7D5D" w:rsidP="00DD7D5D">
      <w:pPr>
        <w:rPr>
          <w:noProof/>
        </w:rPr>
      </w:pPr>
    </w:p>
    <w:p w14:paraId="5DD8BF2C" w14:textId="77777777" w:rsidR="00DD7D5D" w:rsidRDefault="00DD7D5D" w:rsidP="00DD7D5D">
      <w:pPr>
        <w:rPr>
          <w:noProof/>
        </w:rPr>
      </w:pPr>
    </w:p>
    <w:p w14:paraId="5F2ADDAA" w14:textId="77777777" w:rsidR="00DD7D5D" w:rsidRPr="00EB6540" w:rsidRDefault="004F7C1B" w:rsidP="00DD7D5D">
      <w:pPr>
        <w:jc w:val="center"/>
        <w:rPr>
          <w:rFonts w:ascii="Calibri" w:hAnsi="Calibri" w:cs="Arial"/>
          <w:sz w:val="40"/>
          <w:szCs w:val="48"/>
        </w:rPr>
      </w:pPr>
      <w:r w:rsidRPr="00084ACD">
        <w:rPr>
          <w:noProof/>
        </w:rPr>
        <w:pict>
          <v:shape id="Picture 1" o:spid="_x0000_i1026" type="#_x0000_t75" alt="SIMBA logo" style="width:409.5pt;height:105.75pt;visibility:visible">
            <v:imagedata r:id="rId9" o:title="SIMBA logo"/>
          </v:shape>
        </w:pict>
      </w:r>
    </w:p>
    <w:p w14:paraId="0A86A511" w14:textId="77777777" w:rsidR="00785B80" w:rsidRDefault="00785B80" w:rsidP="00DA1071">
      <w:pPr>
        <w:rPr>
          <w:rFonts w:ascii="Calibri" w:hAnsi="Calibri" w:cs="Arial"/>
          <w:sz w:val="40"/>
          <w:szCs w:val="48"/>
        </w:rPr>
      </w:pPr>
    </w:p>
    <w:p w14:paraId="6A773CA3" w14:textId="77777777" w:rsidR="00FD46FC" w:rsidRDefault="00FD46FC" w:rsidP="00DA1071">
      <w:pPr>
        <w:rPr>
          <w:rFonts w:ascii="Calibri" w:hAnsi="Calibri" w:cs="Arial"/>
          <w:sz w:val="40"/>
          <w:szCs w:val="48"/>
        </w:rPr>
      </w:pPr>
    </w:p>
    <w:p w14:paraId="7B5E33A5" w14:textId="77777777" w:rsidR="00FD46FC" w:rsidRDefault="00FD46FC" w:rsidP="00DA1071">
      <w:pPr>
        <w:rPr>
          <w:rFonts w:ascii="Calibri" w:hAnsi="Calibri" w:cs="Arial"/>
          <w:sz w:val="40"/>
          <w:szCs w:val="48"/>
        </w:rPr>
      </w:pPr>
    </w:p>
    <w:p w14:paraId="67F03980" w14:textId="77777777" w:rsidR="00FD46FC" w:rsidRDefault="00FD46FC" w:rsidP="00DA1071">
      <w:pPr>
        <w:rPr>
          <w:rFonts w:ascii="Calibri" w:hAnsi="Calibri" w:cs="Arial"/>
          <w:sz w:val="40"/>
          <w:szCs w:val="48"/>
        </w:rPr>
      </w:pPr>
    </w:p>
    <w:p w14:paraId="05DAC762" w14:textId="77777777" w:rsidR="00FD46FC" w:rsidRPr="004F7C1B" w:rsidRDefault="00FD46FC" w:rsidP="00DA1071">
      <w:pPr>
        <w:rPr>
          <w:rFonts w:ascii="Calibri" w:hAnsi="Calibri" w:cs="Arial"/>
          <w:sz w:val="40"/>
          <w:szCs w:val="48"/>
        </w:rPr>
      </w:pPr>
    </w:p>
    <w:p w14:paraId="351FB2F3" w14:textId="77777777" w:rsidR="00FD46FC" w:rsidRDefault="00FD46FC" w:rsidP="00FD46FC">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14:paraId="1C20DE89" w14:textId="77777777" w:rsidR="00E9332D" w:rsidRDefault="00DA1071" w:rsidP="0001144E">
      <w:pPr>
        <w:pStyle w:val="Heading10"/>
        <w:rPr>
          <w:color w:val="1E407C"/>
        </w:rPr>
      </w:pPr>
      <w:r w:rsidRPr="004F7C1B">
        <w:br w:type="page"/>
      </w:r>
      <w:r w:rsidR="0001144E" w:rsidRPr="0001144E">
        <w:rPr>
          <w:color w:val="1E407C"/>
        </w:rPr>
        <w:lastRenderedPageBreak/>
        <w:t>FV60_Park Vendor Invoice-Tax Withholding</w:t>
      </w:r>
    </w:p>
    <w:p w14:paraId="3405E179" w14:textId="77777777" w:rsidR="0001144E" w:rsidRDefault="0001144E" w:rsidP="0001144E">
      <w:pPr>
        <w:pStyle w:val="p"/>
      </w:pPr>
      <w:r>
        <w:t> </w:t>
      </w:r>
    </w:p>
    <w:p w14:paraId="60A79F2B" w14:textId="77777777" w:rsidR="0001144E" w:rsidRDefault="0001144E" w:rsidP="0001144E">
      <w:pPr>
        <w:pStyle w:val="Heading2"/>
      </w:pPr>
      <w:r>
        <w:t>Overview</w:t>
      </w:r>
    </w:p>
    <w:p w14:paraId="19922803" w14:textId="77777777" w:rsidR="0001144E" w:rsidRDefault="0001144E" w:rsidP="0001144E">
      <w:pPr>
        <w:pStyle w:val="p"/>
      </w:pPr>
      <w:r>
        <w:t> </w:t>
      </w:r>
    </w:p>
    <w:p w14:paraId="1715CA71" w14:textId="77777777" w:rsidR="0001144E" w:rsidRDefault="0001144E" w:rsidP="0001144E">
      <w:pPr>
        <w:pStyle w:val="p"/>
        <w:rPr>
          <w:b/>
          <w:sz w:val="33"/>
        </w:rPr>
      </w:pPr>
      <w:r w:rsidRPr="0001144E">
        <w:rPr>
          <w:b/>
          <w:sz w:val="33"/>
        </w:rPr>
        <w:t>Transaction Description:</w:t>
      </w:r>
    </w:p>
    <w:p w14:paraId="3A04123D" w14:textId="77777777" w:rsidR="0001144E" w:rsidRDefault="0001144E" w:rsidP="0001144E">
      <w:pPr>
        <w:pStyle w:val="p"/>
        <w:rPr>
          <w:sz w:val="30"/>
        </w:rPr>
      </w:pPr>
      <w:r w:rsidRPr="0001144E">
        <w:rPr>
          <w:sz w:val="30"/>
        </w:rPr>
        <w:t>This tile is used for non-PO A/P related invoices from vendors. This invoice document is routed to Central A/P.  The A/P department reviews the invoice to ensure it is in line with like invoices.</w:t>
      </w:r>
    </w:p>
    <w:p w14:paraId="493C890C" w14:textId="77777777" w:rsidR="0001144E" w:rsidRDefault="0001144E" w:rsidP="0001144E">
      <w:pPr>
        <w:pStyle w:val="p"/>
      </w:pPr>
      <w:r>
        <w:t> </w:t>
      </w:r>
    </w:p>
    <w:p w14:paraId="326277DD" w14:textId="77777777" w:rsidR="0001144E" w:rsidRDefault="0001144E" w:rsidP="0001144E">
      <w:pPr>
        <w:pStyle w:val="p"/>
        <w:rPr>
          <w:b/>
          <w:sz w:val="33"/>
        </w:rPr>
      </w:pPr>
      <w:r w:rsidRPr="0001144E">
        <w:rPr>
          <w:b/>
          <w:sz w:val="33"/>
        </w:rPr>
        <w:t>Penn State Purpose:</w:t>
      </w:r>
    </w:p>
    <w:p w14:paraId="069D1F59" w14:textId="77777777" w:rsidR="0001144E" w:rsidRDefault="0001144E" w:rsidP="0001144E">
      <w:pPr>
        <w:pStyle w:val="p"/>
        <w:rPr>
          <w:sz w:val="30"/>
        </w:rPr>
      </w:pPr>
      <w:r w:rsidRPr="0001144E">
        <w:rPr>
          <w:sz w:val="30"/>
        </w:rPr>
        <w:t xml:space="preserve">The purpose of this transaction is to enter non-PO related invoices. Please refer to the </w:t>
      </w:r>
      <w:hyperlink r:id="rId10" w:history="1">
        <w:r>
          <w:rPr>
            <w:rStyle w:val="Hyperlink"/>
          </w:rPr>
          <w:t>Payment Decision Matrix</w:t>
        </w:r>
      </w:hyperlink>
      <w:r w:rsidRPr="0001144E">
        <w:rPr>
          <w:sz w:val="30"/>
        </w:rPr>
        <w:t xml:space="preserve"> for usage criteria. Invoices such as utilities, rents and car leases can be paid via the non-PO invoice. </w:t>
      </w:r>
    </w:p>
    <w:p w14:paraId="54C84670" w14:textId="77777777" w:rsidR="0001144E" w:rsidRDefault="0001144E" w:rsidP="0001144E">
      <w:pPr>
        <w:pStyle w:val="p"/>
      </w:pPr>
      <w:r>
        <w:t> </w:t>
      </w:r>
    </w:p>
    <w:p w14:paraId="22431DDE" w14:textId="77777777" w:rsidR="0001144E" w:rsidRDefault="0001144E" w:rsidP="0001144E">
      <w:pPr>
        <w:pStyle w:val="p"/>
        <w:rPr>
          <w:sz w:val="30"/>
        </w:rPr>
      </w:pPr>
      <w:r w:rsidRPr="0001144E">
        <w:rPr>
          <w:sz w:val="30"/>
        </w:rPr>
        <w:t>If the vendor is 1042S or 1099 reportable, proper tax withholding needs to be completed at invoice entry.  This simulation will demonstrate the tax withholding steps.</w:t>
      </w:r>
    </w:p>
    <w:p w14:paraId="03DD85B3" w14:textId="77777777" w:rsidR="0001144E" w:rsidRDefault="0001144E" w:rsidP="0001144E">
      <w:pPr>
        <w:pStyle w:val="Heading2"/>
        <w:rPr>
          <w:color w:val="231F21"/>
        </w:rPr>
      </w:pPr>
      <w:r>
        <w:br w:type="page"/>
      </w:r>
      <w:r w:rsidRPr="0001144E">
        <w:rPr>
          <w:color w:val="231F21"/>
        </w:rPr>
        <w:lastRenderedPageBreak/>
        <w:t>Process Steps</w:t>
      </w:r>
    </w:p>
    <w:p w14:paraId="645ED268" w14:textId="77777777" w:rsidR="0001144E" w:rsidRDefault="0001144E" w:rsidP="0001144E">
      <w:pPr>
        <w:pStyle w:val="p"/>
      </w:pPr>
      <w:r>
        <w:t> </w:t>
      </w:r>
    </w:p>
    <w:p w14:paraId="24BACA55" w14:textId="77777777" w:rsidR="0001144E" w:rsidRDefault="0001144E" w:rsidP="0001144E">
      <w:pPr>
        <w:pStyle w:val="p"/>
      </w:pPr>
      <w:bookmarkStart w:id="0" w:name="TS_202A95C4675D429E824D226E2CAFAEF6"/>
      <w:bookmarkEnd w:id="0"/>
      <w:r>
        <w:t xml:space="preserve">In this simulation, we will demonstrate how to pay an International Vendor. The payment is an Honorarium, requiring a 30% Tax Withholding. Refer to the </w:t>
      </w:r>
      <w:hyperlink r:id="rId11" w:history="1">
        <w:r>
          <w:rPr>
            <w:rStyle w:val="Hyperlink"/>
          </w:rPr>
          <w:t>Non-U.S. Citizen Payment Guidelines</w:t>
        </w:r>
      </w:hyperlink>
      <w:r>
        <w:t> for guidance.</w:t>
      </w:r>
    </w:p>
    <w:p w14:paraId="2CF0DD98" w14:textId="77777777" w:rsidR="0001144E" w:rsidRDefault="0001144E" w:rsidP="0001144E">
      <w:pPr>
        <w:pStyle w:val="p"/>
      </w:pPr>
      <w:r>
        <w:t>If the Vendor Number is unknown, refer to the Display Business Partner simulation for guidance.</w:t>
      </w:r>
    </w:p>
    <w:p w14:paraId="2F71EB55" w14:textId="77777777" w:rsidR="0001144E" w:rsidRDefault="0001144E" w:rsidP="0001144E">
      <w:pPr>
        <w:pStyle w:val="p"/>
      </w:pPr>
      <w:r>
        <w:t>1. </w:t>
      </w:r>
      <w:r w:rsidRPr="0001144E">
        <w:rPr>
          <w:b/>
        </w:rPr>
        <w:t>860008757 </w:t>
      </w:r>
      <w:r w:rsidRPr="0001144E">
        <w:t>is typed in the</w:t>
      </w:r>
      <w:r w:rsidRPr="0001144E">
        <w:rPr>
          <w:b/>
        </w:rPr>
        <w:t xml:space="preserve"> Vendor </w:t>
      </w:r>
      <w:r w:rsidRPr="0001144E">
        <w:t>field.</w:t>
      </w:r>
    </w:p>
    <w:p w14:paraId="405DF0EC" w14:textId="77777777" w:rsidR="0001144E" w:rsidRDefault="0001144E" w:rsidP="0001144E">
      <w:pPr>
        <w:pStyle w:val="p"/>
      </w:pPr>
      <w:r>
        <w:t>2. </w:t>
      </w:r>
      <w:bookmarkStart w:id="1" w:name="TS_AC2C57C653DD4E4EB95884C0FC037178"/>
      <w:bookmarkEnd w:id="1"/>
      <w:r>
        <w:t xml:space="preserve">The </w:t>
      </w:r>
      <w:r w:rsidRPr="0001144E">
        <w:rPr>
          <w:b/>
        </w:rPr>
        <w:t>Vendor</w:t>
      </w:r>
      <w:r w:rsidRPr="0001144E">
        <w:t> is selected</w:t>
      </w:r>
      <w:r>
        <w:t>.</w:t>
      </w:r>
    </w:p>
    <w:p w14:paraId="6EF06DCA" w14:textId="77777777" w:rsidR="0001144E" w:rsidRDefault="0001144E" w:rsidP="0001144E">
      <w:pPr>
        <w:pStyle w:val="p"/>
      </w:pPr>
      <w:bookmarkStart w:id="2" w:name="TS_34A2836C717645E6B1924DF3476F4967"/>
      <w:bookmarkEnd w:id="2"/>
      <w:r>
        <w:t>The original invoice date is entered.</w:t>
      </w:r>
    </w:p>
    <w:p w14:paraId="18B0D958" w14:textId="77777777" w:rsidR="0001144E" w:rsidRDefault="0001144E" w:rsidP="0001144E">
      <w:pPr>
        <w:pStyle w:val="p"/>
      </w:pPr>
      <w:r>
        <w:t>3. </w:t>
      </w:r>
      <w:r w:rsidRPr="0001144E">
        <w:rPr>
          <w:b/>
        </w:rPr>
        <w:t>04/28/2020</w:t>
      </w:r>
      <w:r>
        <w:t xml:space="preserve"> is typed in the </w:t>
      </w:r>
      <w:r w:rsidRPr="0001144E">
        <w:rPr>
          <w:b/>
        </w:rPr>
        <w:t>Invoice date</w:t>
      </w:r>
      <w:r>
        <w:t xml:space="preserve"> field.</w:t>
      </w:r>
    </w:p>
    <w:p w14:paraId="538EBB4A" w14:textId="77777777" w:rsidR="0001144E" w:rsidRDefault="0001144E" w:rsidP="0001144E">
      <w:pPr>
        <w:pStyle w:val="p"/>
      </w:pPr>
      <w:r>
        <w:t>The Reference field should be populated with the Vendor Invoice Number (strictly the number itself without additional entry).</w:t>
      </w:r>
    </w:p>
    <w:p w14:paraId="25B3FA2C" w14:textId="77777777" w:rsidR="0001144E" w:rsidRDefault="0001144E" w:rsidP="0001144E">
      <w:pPr>
        <w:pStyle w:val="p"/>
      </w:pPr>
      <w:r>
        <w:t>4. </w:t>
      </w:r>
      <w:r w:rsidRPr="0001144E">
        <w:rPr>
          <w:b/>
        </w:rPr>
        <w:t>567</w:t>
      </w:r>
      <w:r>
        <w:t xml:space="preserve"> is typed into the </w:t>
      </w:r>
      <w:r w:rsidRPr="0001144E">
        <w:rPr>
          <w:b/>
        </w:rPr>
        <w:t>Reference</w:t>
      </w:r>
      <w:r>
        <w:t xml:space="preserve"> field.</w:t>
      </w:r>
    </w:p>
    <w:p w14:paraId="0491403B" w14:textId="77777777" w:rsidR="0001144E" w:rsidRDefault="0001144E" w:rsidP="0001144E">
      <w:pPr>
        <w:pStyle w:val="p"/>
      </w:pPr>
      <w:r>
        <w:t>The invoice Amount is entered.</w:t>
      </w:r>
    </w:p>
    <w:p w14:paraId="5359CD88" w14:textId="77777777" w:rsidR="0001144E" w:rsidRDefault="0001144E" w:rsidP="0001144E">
      <w:pPr>
        <w:pStyle w:val="p"/>
      </w:pPr>
      <w:r>
        <w:t>5. </w:t>
      </w:r>
      <w:r w:rsidRPr="0001144E">
        <w:rPr>
          <w:b/>
        </w:rPr>
        <w:t>7500.00 </w:t>
      </w:r>
      <w:r>
        <w:t>is typed in the </w:t>
      </w:r>
      <w:r w:rsidRPr="0001144E">
        <w:rPr>
          <w:b/>
        </w:rPr>
        <w:t>Amount</w:t>
      </w:r>
      <w:r>
        <w:t xml:space="preserve"> field.</w:t>
      </w:r>
    </w:p>
    <w:p w14:paraId="372EB9CA" w14:textId="77777777" w:rsidR="0001144E" w:rsidRDefault="0001144E" w:rsidP="0001144E">
      <w:pPr>
        <w:pStyle w:val="p"/>
      </w:pPr>
      <w:r>
        <w:t>The Text field can be filled with up to 50 characters.  This can be used to describe the reason for payment.</w:t>
      </w:r>
    </w:p>
    <w:p w14:paraId="169A5CFE" w14:textId="77777777" w:rsidR="0001144E" w:rsidRDefault="0001144E" w:rsidP="0001144E">
      <w:pPr>
        <w:pStyle w:val="p"/>
        <w:rPr>
          <w:b/>
        </w:rPr>
      </w:pPr>
      <w:r>
        <w:t>6. </w:t>
      </w:r>
      <w:r w:rsidRPr="0001144E">
        <w:rPr>
          <w:b/>
        </w:rPr>
        <w:t xml:space="preserve">Honorarium Payment </w:t>
      </w:r>
      <w:r w:rsidRPr="0001144E">
        <w:t xml:space="preserve">is typed in the </w:t>
      </w:r>
      <w:r w:rsidRPr="0001144E">
        <w:rPr>
          <w:b/>
        </w:rPr>
        <w:t>Text field.</w:t>
      </w:r>
    </w:p>
    <w:p w14:paraId="3AEE3140" w14:textId="77777777" w:rsidR="0001144E" w:rsidRDefault="0001144E" w:rsidP="0001144E">
      <w:pPr>
        <w:pStyle w:val="pParagraphSCXW248709619BCX2"/>
      </w:pPr>
      <w:r>
        <w:t>Note: The Text field can be used to help the vendor identify the reason for payment.  When entering an asterisk (*) before the text, this information will be output on the payment advice.</w:t>
      </w:r>
    </w:p>
    <w:p w14:paraId="5EE427D5" w14:textId="77777777" w:rsidR="0001144E" w:rsidRDefault="0001144E" w:rsidP="0001144E">
      <w:pPr>
        <w:pStyle w:val="p"/>
      </w:pPr>
      <w:r w:rsidRPr="0001144E">
        <w:rPr>
          <w:b/>
        </w:rPr>
        <w:t>Enter</w:t>
      </w:r>
      <w:r>
        <w:t xml:space="preserve"> is pressed.</w:t>
      </w:r>
    </w:p>
    <w:p w14:paraId="71D9106F" w14:textId="77777777" w:rsidR="0001144E" w:rsidRDefault="0001144E" w:rsidP="0001144E">
      <w:pPr>
        <w:pStyle w:val="p"/>
      </w:pPr>
      <w:bookmarkStart w:id="3" w:name="TS_9510932E3EE549BFBBE5EBF61CBA8E36"/>
      <w:bookmarkEnd w:id="3"/>
      <w:r>
        <w:t>When Enter is pressed, the Vendor information is populated.  It is important to validate this information to ensure the correct vendor is being paid to the correct address.</w:t>
      </w:r>
    </w:p>
    <w:p w14:paraId="2F586E68" w14:textId="77777777" w:rsidR="0001144E" w:rsidRDefault="0001144E" w:rsidP="0001144E">
      <w:pPr>
        <w:pStyle w:val="p"/>
      </w:pPr>
      <w:bookmarkStart w:id="4" w:name="TS_86F679F8F5B5425487F591E91BC9BEF6"/>
      <w:bookmarkEnd w:id="4"/>
      <w:r>
        <w:t>System Status Bar Confirmation:</w:t>
      </w:r>
    </w:p>
    <w:p w14:paraId="6E905DD3" w14:textId="77777777" w:rsidR="0001144E" w:rsidRDefault="0001144E" w:rsidP="0001144E">
      <w:pPr>
        <w:pStyle w:val="p"/>
      </w:pPr>
      <w:r>
        <w:t>This Vendor is subject to withholding tax per the W-9 provided by the vendor.  This information is maintained on the vendor master record.</w:t>
      </w:r>
    </w:p>
    <w:p w14:paraId="336C63E2" w14:textId="77777777" w:rsidR="0001144E" w:rsidRDefault="0001144E" w:rsidP="0001144E">
      <w:pPr>
        <w:pStyle w:val="p"/>
      </w:pPr>
      <w:bookmarkStart w:id="5" w:name="TS_04A3F7CF12114F68A58A002BE1A2801D"/>
      <w:bookmarkEnd w:id="5"/>
      <w:r>
        <w:t>Now we will enter the payment information.</w:t>
      </w:r>
    </w:p>
    <w:p w14:paraId="6040B53C" w14:textId="77777777" w:rsidR="0001144E" w:rsidRDefault="0001144E" w:rsidP="0001144E">
      <w:pPr>
        <w:pStyle w:val="p"/>
      </w:pPr>
      <w:r>
        <w:t xml:space="preserve">7. The </w:t>
      </w:r>
      <w:r w:rsidRPr="0001144E">
        <w:rPr>
          <w:b/>
        </w:rPr>
        <w:t>Payment</w:t>
      </w:r>
      <w:r>
        <w:t> tab is clicked.</w:t>
      </w:r>
    </w:p>
    <w:p w14:paraId="2D759A5C" w14:textId="77777777" w:rsidR="0001144E" w:rsidRDefault="0001144E" w:rsidP="0001144E">
      <w:pPr>
        <w:pStyle w:val="pParagraphSCXW170083491BCX2"/>
      </w:pPr>
      <w:bookmarkStart w:id="6" w:name="TS_F111749C14DB4F9285467B42D7D7B544"/>
      <w:bookmarkEnd w:id="6"/>
      <w:r>
        <w:t>Payment terms will default from the vendor set-up. Only change payment terms if there is an exception which overrides the vendor master data for this invoice. For this invoice, we will update the payment terms.</w:t>
      </w:r>
    </w:p>
    <w:p w14:paraId="13AF93EA" w14:textId="77777777" w:rsidR="0001144E" w:rsidRDefault="0001144E" w:rsidP="0001144E">
      <w:pPr>
        <w:pStyle w:val="p"/>
      </w:pPr>
      <w:r>
        <w:t xml:space="preserve">8. The </w:t>
      </w:r>
      <w:r w:rsidRPr="0001144E">
        <w:rPr>
          <w:b/>
        </w:rPr>
        <w:t>Pyt Terms</w:t>
      </w:r>
      <w:r>
        <w:t> field is clicked.</w:t>
      </w:r>
    </w:p>
    <w:p w14:paraId="51CA3F57" w14:textId="77777777" w:rsidR="0001144E" w:rsidRDefault="0001144E" w:rsidP="0001144E">
      <w:pPr>
        <w:pStyle w:val="p"/>
      </w:pPr>
      <w:bookmarkStart w:id="7" w:name="TS_D29087F25A884A679FA3E5D66591CC7B"/>
      <w:bookmarkEnd w:id="7"/>
      <w:r>
        <w:t>Terms of Payment options are displayed. For this demonstration we will select option 0001, Net due 30 days; .5% discount if paid in 10 days.</w:t>
      </w:r>
    </w:p>
    <w:p w14:paraId="56ECC372" w14:textId="77777777" w:rsidR="0001144E" w:rsidRDefault="0001144E" w:rsidP="0001144E">
      <w:pPr>
        <w:pStyle w:val="p"/>
      </w:pPr>
      <w:r>
        <w:t xml:space="preserve">9. The </w:t>
      </w:r>
      <w:r w:rsidRPr="0001144E">
        <w:rPr>
          <w:b/>
        </w:rPr>
        <w:t>0001</w:t>
      </w:r>
      <w:r>
        <w:t xml:space="preserve"> </w:t>
      </w:r>
      <w:r w:rsidRPr="0001144E">
        <w:rPr>
          <w:b/>
        </w:rPr>
        <w:t>Terms of Payment</w:t>
      </w:r>
      <w:r>
        <w:t> is clicked.</w:t>
      </w:r>
    </w:p>
    <w:p w14:paraId="5412DA42" w14:textId="77777777" w:rsidR="0001144E" w:rsidRDefault="0001144E" w:rsidP="0001144E">
      <w:pPr>
        <w:pStyle w:val="p"/>
      </w:pPr>
      <w:r>
        <w:t>10. </w:t>
      </w:r>
      <w:bookmarkStart w:id="8" w:name="TS_E4BA07675F32437BAFDE2FC3AAFBF10F"/>
      <w:bookmarkEnd w:id="8"/>
      <w:r>
        <w:t xml:space="preserve">The </w:t>
      </w:r>
      <w:r w:rsidRPr="0001144E">
        <w:rPr>
          <w:b/>
        </w:rPr>
        <w:t>Apply</w:t>
      </w:r>
      <w:r>
        <w:t xml:space="preserve"> button is clicked.</w:t>
      </w:r>
    </w:p>
    <w:p w14:paraId="724BFAC1" w14:textId="77777777" w:rsidR="0001144E" w:rsidRDefault="0001144E" w:rsidP="0001144E">
      <w:pPr>
        <w:pStyle w:val="p"/>
      </w:pPr>
      <w:bookmarkStart w:id="9" w:name="TS_0857DC9713B44537AEC014D315A04DF7"/>
      <w:bookmarkEnd w:id="9"/>
      <w:r>
        <w:t>The Payment Method field should be left blank in most situations.  A blank indicates the invoice will be paid by the payment method selected by the vendor.</w:t>
      </w:r>
    </w:p>
    <w:p w14:paraId="67DFA3B7" w14:textId="77777777" w:rsidR="0001144E" w:rsidRDefault="0001144E" w:rsidP="0001144E">
      <w:pPr>
        <w:pStyle w:val="p"/>
      </w:pPr>
      <w:r>
        <w:t> </w:t>
      </w:r>
    </w:p>
    <w:p w14:paraId="09988903" w14:textId="77777777" w:rsidR="0001144E" w:rsidRDefault="0001144E" w:rsidP="0001144E">
      <w:pPr>
        <w:pStyle w:val="p"/>
      </w:pPr>
      <w:r>
        <w:t>Note: Payment method for international vendors should be Check (C), USD Fed Wire (W), or Foreign Currency Wire (F). Foreign vendors cannot be paid as Bank Transfer/ACH (D) due to compliance.</w:t>
      </w:r>
    </w:p>
    <w:p w14:paraId="3BCCF049" w14:textId="77777777" w:rsidR="0001144E" w:rsidRDefault="0001144E" w:rsidP="0001144E">
      <w:pPr>
        <w:pStyle w:val="p"/>
      </w:pPr>
      <w:bookmarkStart w:id="10" w:name="TS_0A263E948BFD42CA8485C839939ED555"/>
      <w:bookmarkEnd w:id="10"/>
      <w:r>
        <w:t>Next, we will enter the withholding tax information.</w:t>
      </w:r>
    </w:p>
    <w:p w14:paraId="402B0333" w14:textId="77777777" w:rsidR="0001144E" w:rsidRDefault="0001144E" w:rsidP="0001144E">
      <w:pPr>
        <w:pStyle w:val="p"/>
      </w:pPr>
      <w:r>
        <w:t>11. The </w:t>
      </w:r>
      <w:r w:rsidRPr="0001144E">
        <w:rPr>
          <w:b/>
        </w:rPr>
        <w:t>Withholding tax</w:t>
      </w:r>
      <w:r>
        <w:t> tab is clicked.</w:t>
      </w:r>
    </w:p>
    <w:p w14:paraId="4D269DD5" w14:textId="77777777" w:rsidR="0001144E" w:rsidRDefault="0001144E" w:rsidP="0001144E">
      <w:pPr>
        <w:pStyle w:val="p"/>
      </w:pPr>
      <w:bookmarkStart w:id="11" w:name="TS_383685C89B564DD88FC246D245E8E5A8"/>
      <w:bookmarkEnd w:id="11"/>
      <w:r>
        <w:t xml:space="preserve">The withholding tax base is the invoice amount in US currency. The withholding tax amount is 30% of that amount. </w:t>
      </w:r>
    </w:p>
    <w:p w14:paraId="5D81DA34" w14:textId="77777777" w:rsidR="0001144E" w:rsidRDefault="0001144E" w:rsidP="0001144E">
      <w:pPr>
        <w:pStyle w:val="p"/>
      </w:pPr>
      <w:r>
        <w:t> </w:t>
      </w:r>
    </w:p>
    <w:p w14:paraId="599CF752" w14:textId="77777777" w:rsidR="0001144E" w:rsidRDefault="0001144E" w:rsidP="0001144E">
      <w:pPr>
        <w:pStyle w:val="p"/>
      </w:pPr>
      <w:r>
        <w:t xml:space="preserve">Refer to </w:t>
      </w:r>
      <w:hyperlink r:id="rId12" w:history="1">
        <w:r>
          <w:rPr>
            <w:rStyle w:val="Hyperlink"/>
          </w:rPr>
          <w:t>Non-US Citizen Payment Guidelines</w:t>
        </w:r>
      </w:hyperlink>
      <w:r>
        <w:t> to determine when 30% withholding tax should be applied.</w:t>
      </w:r>
    </w:p>
    <w:p w14:paraId="75C8FD59" w14:textId="77777777" w:rsidR="0001144E" w:rsidRDefault="0001144E" w:rsidP="0001144E">
      <w:pPr>
        <w:pStyle w:val="p"/>
      </w:pPr>
      <w:r>
        <w:t>12. </w:t>
      </w:r>
      <w:bookmarkStart w:id="12" w:name="TS_33B00DD691444302BDB433D006D42D57"/>
      <w:bookmarkEnd w:id="12"/>
      <w:r w:rsidRPr="0001144E">
        <w:rPr>
          <w:b/>
        </w:rPr>
        <w:t>7500</w:t>
      </w:r>
      <w:r>
        <w:t xml:space="preserve"> is typed into the </w:t>
      </w:r>
      <w:r w:rsidRPr="0001144E">
        <w:rPr>
          <w:b/>
        </w:rPr>
        <w:t>W/Tax Base FC</w:t>
      </w:r>
      <w:r>
        <w:t xml:space="preserve"> field.</w:t>
      </w:r>
    </w:p>
    <w:p w14:paraId="3AAC2323" w14:textId="77777777" w:rsidR="0001144E" w:rsidRDefault="0001144E" w:rsidP="0001144E">
      <w:pPr>
        <w:pStyle w:val="p"/>
      </w:pPr>
      <w:r>
        <w:t>13. </w:t>
      </w:r>
      <w:r w:rsidRPr="0001144E">
        <w:rPr>
          <w:b/>
        </w:rPr>
        <w:t>2250</w:t>
      </w:r>
      <w:r>
        <w:t xml:space="preserve"> is typed into the </w:t>
      </w:r>
      <w:r w:rsidRPr="0001144E">
        <w:rPr>
          <w:b/>
        </w:rPr>
        <w:t>W/Tax Amt in FC</w:t>
      </w:r>
      <w:r>
        <w:t xml:space="preserve"> field.</w:t>
      </w:r>
    </w:p>
    <w:p w14:paraId="78CCCD74" w14:textId="77777777" w:rsidR="00FB0B7C" w:rsidRDefault="00FB0B7C" w:rsidP="00FB0B7C">
      <w:pPr>
        <w:pStyle w:val="p"/>
      </w:pPr>
      <w:r>
        <w:t>Remember, the withholding tax is 30% of the withholding tax base.</w:t>
      </w:r>
    </w:p>
    <w:p w14:paraId="63F2CFE1" w14:textId="77777777" w:rsidR="00FB0B7C" w:rsidRDefault="00FB0B7C" w:rsidP="00FB0B7C">
      <w:pPr>
        <w:pStyle w:val="p"/>
      </w:pPr>
      <w:bookmarkStart w:id="13" w:name="TS_256DDC9EF59545C49719E580E862BDC7"/>
      <w:bookmarkEnd w:id="13"/>
      <w:r>
        <w:t>The Line Item information is completed.</w:t>
      </w:r>
    </w:p>
    <w:p w14:paraId="751DC493" w14:textId="77777777" w:rsidR="00FB0B7C" w:rsidRDefault="00FB0B7C" w:rsidP="00FB0B7C">
      <w:pPr>
        <w:pStyle w:val="p"/>
      </w:pPr>
      <w:r>
        <w:t>14. </w:t>
      </w:r>
      <w:r w:rsidRPr="00FB0B7C">
        <w:rPr>
          <w:b/>
        </w:rPr>
        <w:t>52600901</w:t>
      </w:r>
      <w:r>
        <w:t xml:space="preserve"> is typed into the </w:t>
      </w:r>
      <w:r w:rsidRPr="00FB0B7C">
        <w:rPr>
          <w:b/>
        </w:rPr>
        <w:t>G/L acct</w:t>
      </w:r>
      <w:r>
        <w:t> field.</w:t>
      </w:r>
    </w:p>
    <w:p w14:paraId="120B3371" w14:textId="77777777" w:rsidR="00FB0B7C" w:rsidRDefault="00FB0B7C" w:rsidP="00FB0B7C">
      <w:pPr>
        <w:pStyle w:val="p"/>
      </w:pPr>
      <w:r>
        <w:t xml:space="preserve">The Honorarium amount should be entered in USD. Line items should total the amount displayed in the Header. </w:t>
      </w:r>
    </w:p>
    <w:p w14:paraId="52C1293A" w14:textId="77777777" w:rsidR="00FB0B7C" w:rsidRDefault="00FB0B7C" w:rsidP="00FB0B7C">
      <w:pPr>
        <w:pStyle w:val="p"/>
      </w:pPr>
      <w:r>
        <w:t>15. </w:t>
      </w:r>
      <w:r w:rsidRPr="00FB0B7C">
        <w:rPr>
          <w:b/>
        </w:rPr>
        <w:t xml:space="preserve">7500 </w:t>
      </w:r>
      <w:r>
        <w:t>is entered into the</w:t>
      </w:r>
      <w:r w:rsidRPr="00FB0B7C">
        <w:rPr>
          <w:b/>
        </w:rPr>
        <w:t xml:space="preserve"> Amount in doc.curr.</w:t>
      </w:r>
      <w:r>
        <w:t> field.</w:t>
      </w:r>
    </w:p>
    <w:p w14:paraId="5757723B" w14:textId="77777777" w:rsidR="00FB0B7C" w:rsidRDefault="00FB0B7C" w:rsidP="00FB0B7C">
      <w:pPr>
        <w:pStyle w:val="p"/>
      </w:pPr>
      <w:r>
        <w:t>16. </w:t>
      </w:r>
      <w:r w:rsidRPr="00FB0B7C">
        <w:rPr>
          <w:b/>
        </w:rPr>
        <w:t>Honorarium</w:t>
      </w:r>
      <w:r>
        <w:t xml:space="preserve"> is typed into the </w:t>
      </w:r>
      <w:r w:rsidRPr="00FB0B7C">
        <w:rPr>
          <w:b/>
        </w:rPr>
        <w:t>Text</w:t>
      </w:r>
      <w:r>
        <w:t xml:space="preserve"> field.</w:t>
      </w:r>
    </w:p>
    <w:p w14:paraId="50C62B4E" w14:textId="77777777" w:rsidR="00FB0B7C" w:rsidRDefault="00FB0B7C" w:rsidP="00FB0B7C">
      <w:pPr>
        <w:pStyle w:val="p"/>
      </w:pPr>
      <w:r w:rsidRPr="00FB0B7C">
        <w:t>Cost Center, Internal Order or WBS Element is required for a P&amp;L G/L.</w:t>
      </w:r>
    </w:p>
    <w:p w14:paraId="5D78426D" w14:textId="77777777" w:rsidR="00FB0B7C" w:rsidRDefault="00FB0B7C" w:rsidP="00FB0B7C">
      <w:pPr>
        <w:pStyle w:val="p"/>
      </w:pPr>
      <w:r>
        <w:t>17. </w:t>
      </w:r>
      <w:r w:rsidRPr="00FB0B7C">
        <w:rPr>
          <w:b/>
        </w:rPr>
        <w:t>6510801000</w:t>
      </w:r>
      <w:r>
        <w:t xml:space="preserve"> is typed into the </w:t>
      </w:r>
      <w:r w:rsidRPr="00FB0B7C">
        <w:rPr>
          <w:b/>
        </w:rPr>
        <w:t>Cost center</w:t>
      </w:r>
      <w:r>
        <w:t> field.</w:t>
      </w:r>
    </w:p>
    <w:p w14:paraId="6999296F" w14:textId="77777777" w:rsidR="00FB0B7C" w:rsidRDefault="00FB0B7C" w:rsidP="00FB0B7C">
      <w:pPr>
        <w:pStyle w:val="p"/>
      </w:pPr>
      <w:r w:rsidRPr="00FB0B7C">
        <w:rPr>
          <w:b/>
        </w:rPr>
        <w:t>Enter</w:t>
      </w:r>
      <w:r>
        <w:t xml:space="preserve"> is pressed.</w:t>
      </w:r>
    </w:p>
    <w:p w14:paraId="33D77F5C" w14:textId="77777777" w:rsidR="00FB0B7C" w:rsidRDefault="00FB0B7C" w:rsidP="00FB0B7C">
      <w:pPr>
        <w:pStyle w:val="p"/>
      </w:pPr>
      <w:bookmarkStart w:id="14" w:name="TS_6576972A7D9D43DFAA83F6FF6EAFD872"/>
      <w:bookmarkEnd w:id="14"/>
      <w:r>
        <w:t>When specifying a Cost Center, the Business Area, Fund Center, Fund, Grant, and Functional Area will populate when pressing Enter on the keyboard. This derivation of information also happens for an Internal Order or WBS Element.</w:t>
      </w:r>
    </w:p>
    <w:p w14:paraId="6D3DC5CF" w14:textId="77777777" w:rsidR="00FB0B7C" w:rsidRDefault="00FB0B7C" w:rsidP="00FB0B7C">
      <w:pPr>
        <w:pStyle w:val="p"/>
      </w:pPr>
      <w:r>
        <w:t> </w:t>
      </w:r>
    </w:p>
    <w:p w14:paraId="75DA8AC9" w14:textId="77777777" w:rsidR="00FB0B7C" w:rsidRDefault="00FB0B7C" w:rsidP="00FB0B7C">
      <w:pPr>
        <w:pStyle w:val="p"/>
      </w:pPr>
      <w:r>
        <w:t>If a Balance sheet G/L is used, Business Area, Fund, and Grant will need to be entered instead of a Cost Center, Internal Order, or WBS Element. The Grant value NOTRELEVANT is used when a Grant does not apply.</w:t>
      </w:r>
    </w:p>
    <w:p w14:paraId="5C0B3322" w14:textId="77777777" w:rsidR="00FB0B7C" w:rsidRDefault="00FB0B7C" w:rsidP="00FB0B7C">
      <w:pPr>
        <w:pStyle w:val="p"/>
      </w:pPr>
      <w:bookmarkStart w:id="15" w:name="TS_D076A381CBEB47F69DF1CF39319E6AC8"/>
      <w:bookmarkEnd w:id="15"/>
      <w:r>
        <w:t xml:space="preserve">A parked document is saved, but not yet posted. </w:t>
      </w:r>
    </w:p>
    <w:p w14:paraId="34B591C5" w14:textId="77777777" w:rsidR="00FB0B7C" w:rsidRDefault="00FB0B7C" w:rsidP="00FB0B7C">
      <w:pPr>
        <w:pStyle w:val="p"/>
      </w:pPr>
      <w:r>
        <w:t xml:space="preserve">18. The </w:t>
      </w:r>
      <w:r w:rsidRPr="00FB0B7C">
        <w:rPr>
          <w:b/>
        </w:rPr>
        <w:t>Save parked document</w:t>
      </w:r>
      <w:r>
        <w:t xml:space="preserve"> button is clicked.</w:t>
      </w:r>
    </w:p>
    <w:p w14:paraId="34A5F40E" w14:textId="77777777" w:rsidR="00FB0B7C" w:rsidRDefault="00FB0B7C" w:rsidP="00FB0B7C">
      <w:pPr>
        <w:pStyle w:val="p"/>
      </w:pPr>
      <w:bookmarkStart w:id="16" w:name="TS_4C1096581A1643779EFD4AE609A91180"/>
      <w:bookmarkEnd w:id="16"/>
      <w:r>
        <w:t>System Status Bar Confirmation:</w:t>
      </w:r>
    </w:p>
    <w:p w14:paraId="5D908D7C" w14:textId="77777777" w:rsidR="00FB0B7C" w:rsidRDefault="00FB0B7C" w:rsidP="00FB0B7C">
      <w:pPr>
        <w:pStyle w:val="p"/>
      </w:pPr>
      <w:r>
        <w:t>Document 1900013824 1855 was parked.</w:t>
      </w:r>
    </w:p>
    <w:p w14:paraId="0D90A411" w14:textId="77777777" w:rsidR="00FB0B7C" w:rsidRDefault="00FB0B7C" w:rsidP="00FB0B7C">
      <w:pPr>
        <w:pStyle w:val="p"/>
      </w:pPr>
      <w:bookmarkStart w:id="17" w:name="TS_2E59D72A42404FB1990F649A8008395A"/>
      <w:bookmarkEnd w:id="17"/>
      <w:r>
        <w:t>Note: The Park Vendor Invoice screen is cleared for the entry of another invoice after Saved parked document is clicked.</w:t>
      </w:r>
    </w:p>
    <w:p w14:paraId="00F2E7BD" w14:textId="77777777" w:rsidR="00FB0B7C" w:rsidRDefault="00FB0B7C" w:rsidP="00FB0B7C">
      <w:pPr>
        <w:pStyle w:val="p"/>
      </w:pPr>
      <w:bookmarkStart w:id="18" w:name="TS_49B1997812664627B2A022F0FA5985F4"/>
      <w:bookmarkEnd w:id="18"/>
      <w:r>
        <w:t>To add attachments before workflow is triggered, the document must first be parked.  We will open the newly created document.  Note the document number displayed in the System Status Confirmation Bar - 1900013824.</w:t>
      </w:r>
    </w:p>
    <w:p w14:paraId="01B0DCAF" w14:textId="77777777" w:rsidR="00FB0B7C" w:rsidRDefault="00FB0B7C" w:rsidP="00FB0B7C">
      <w:pPr>
        <w:pStyle w:val="p"/>
      </w:pPr>
      <w:r>
        <w:t>19. </w:t>
      </w:r>
      <w:bookmarkStart w:id="19" w:name="TS_B4FB26C62B274CC98C70345836B66942"/>
      <w:bookmarkEnd w:id="19"/>
      <w:r>
        <w:t xml:space="preserve">The </w:t>
      </w:r>
      <w:r w:rsidRPr="00FB0B7C">
        <w:rPr>
          <w:b/>
        </w:rPr>
        <w:t>More</w:t>
      </w:r>
      <w:r>
        <w:t xml:space="preserve"> dropdown is clicked.</w:t>
      </w:r>
    </w:p>
    <w:p w14:paraId="790EE0B1" w14:textId="77777777" w:rsidR="00FB0B7C" w:rsidRDefault="00FB0B7C" w:rsidP="00FB0B7C">
      <w:pPr>
        <w:pStyle w:val="p"/>
      </w:pPr>
      <w:r>
        <w:t>20. </w:t>
      </w:r>
      <w:bookmarkStart w:id="20" w:name="TS_1A3CC576D2D041ECAEDAD04A1D500489"/>
      <w:bookmarkEnd w:id="20"/>
      <w:r>
        <w:t xml:space="preserve">The </w:t>
      </w:r>
      <w:r w:rsidRPr="00FB0B7C">
        <w:rPr>
          <w:b/>
        </w:rPr>
        <w:t>Document</w:t>
      </w:r>
      <w:r>
        <w:t xml:space="preserve"> menu item is selected.</w:t>
      </w:r>
    </w:p>
    <w:p w14:paraId="4ACED7B4" w14:textId="77777777" w:rsidR="00FB0B7C" w:rsidRDefault="00FB0B7C" w:rsidP="00FB0B7C">
      <w:pPr>
        <w:pStyle w:val="p"/>
      </w:pPr>
      <w:r>
        <w:t xml:space="preserve">21. The </w:t>
      </w:r>
      <w:r w:rsidRPr="00FB0B7C">
        <w:rPr>
          <w:b/>
        </w:rPr>
        <w:t>Display</w:t>
      </w:r>
      <w:r>
        <w:t xml:space="preserve"> menu item is selected.</w:t>
      </w:r>
    </w:p>
    <w:p w14:paraId="7C35E72F" w14:textId="77777777" w:rsidR="00FB0B7C" w:rsidRDefault="00FB0B7C" w:rsidP="00FB0B7C">
      <w:pPr>
        <w:pStyle w:val="p"/>
      </w:pPr>
      <w:bookmarkStart w:id="21" w:name="TS_FE3A984E8886415EA527EE07E2E46284"/>
      <w:bookmarkEnd w:id="21"/>
      <w:r>
        <w:t>Document 1900013824 is now open.  The information is grayed out.</w:t>
      </w:r>
    </w:p>
    <w:p w14:paraId="3AF2EB43" w14:textId="77777777" w:rsidR="00FB0B7C" w:rsidRDefault="00FB0B7C" w:rsidP="00FB0B7C">
      <w:pPr>
        <w:pStyle w:val="p"/>
      </w:pPr>
      <w:r>
        <w:t>Clicking the Document button will change the display options, enabling us to edit the document before submitting it to the workflow.</w:t>
      </w:r>
    </w:p>
    <w:p w14:paraId="1438467B" w14:textId="77777777" w:rsidR="00FB0B7C" w:rsidRDefault="00FB0B7C" w:rsidP="00FB0B7C">
      <w:pPr>
        <w:pStyle w:val="p"/>
      </w:pPr>
      <w:r>
        <w:t xml:space="preserve">22. The </w:t>
      </w:r>
      <w:r w:rsidRPr="00FB0B7C">
        <w:rPr>
          <w:b/>
        </w:rPr>
        <w:t xml:space="preserve">Document </w:t>
      </w:r>
      <w:r w:rsidRPr="00FB0B7C">
        <w:t>tab is selected.</w:t>
      </w:r>
    </w:p>
    <w:p w14:paraId="4DF487B1" w14:textId="77777777" w:rsidR="00FB0B7C" w:rsidRDefault="00FB0B7C" w:rsidP="00FB0B7C">
      <w:pPr>
        <w:pStyle w:val="p"/>
      </w:pPr>
      <w:bookmarkStart w:id="22" w:name="TS_0C7F5C5C52DD4D31AE140AF57F1C71AC"/>
      <w:bookmarkEnd w:id="22"/>
      <w:r>
        <w:t>The Services for Object dropdown is used to attach the invoice and any supporting documentation.</w:t>
      </w:r>
    </w:p>
    <w:p w14:paraId="3906752E" w14:textId="77777777" w:rsidR="00FB0B7C" w:rsidRDefault="00FB0B7C" w:rsidP="00FB0B7C">
      <w:pPr>
        <w:pStyle w:val="p"/>
      </w:pPr>
      <w:r w:rsidRPr="00FB0B7C">
        <w:t xml:space="preserve">Refer to the following websites to determine which documents must be attached:  </w:t>
      </w:r>
    </w:p>
    <w:p w14:paraId="47CA446C" w14:textId="77777777" w:rsidR="00FB0B7C" w:rsidRDefault="00FB0B7C" w:rsidP="00FB0B7C">
      <w:pPr>
        <w:pStyle w:val="p"/>
      </w:pPr>
      <w:r>
        <w:t> </w:t>
      </w:r>
    </w:p>
    <w:p w14:paraId="35AFAD7D" w14:textId="77777777" w:rsidR="00FB0B7C" w:rsidRDefault="00FB0B7C" w:rsidP="00FB0B7C">
      <w:pPr>
        <w:pStyle w:val="p"/>
      </w:pPr>
      <w:hyperlink r:id="rId13" w:history="1">
        <w:r>
          <w:rPr>
            <w:rStyle w:val="Hyperlink"/>
          </w:rPr>
          <w:t>Non-U.S. Citizen Documentation Chart</w:t>
        </w:r>
      </w:hyperlink>
    </w:p>
    <w:p w14:paraId="2F9F6E7A" w14:textId="77777777" w:rsidR="00FB0B7C" w:rsidRDefault="00FB0B7C" w:rsidP="00FB0B7C">
      <w:pPr>
        <w:pStyle w:val="p"/>
      </w:pPr>
      <w:r>
        <w:t> </w:t>
      </w:r>
    </w:p>
    <w:p w14:paraId="125DFE89" w14:textId="77777777" w:rsidR="00FB0B7C" w:rsidRDefault="00FB0B7C" w:rsidP="00FB0B7C">
      <w:pPr>
        <w:pStyle w:val="p"/>
      </w:pPr>
      <w:hyperlink r:id="rId14" w:history="1">
        <w:r>
          <w:rPr>
            <w:rStyle w:val="Hyperlink"/>
          </w:rPr>
          <w:t>Non-U.S. Citizen Payment Guidelines</w:t>
        </w:r>
      </w:hyperlink>
      <w:r w:rsidRPr="00FB0B7C">
        <w:t> </w:t>
      </w:r>
    </w:p>
    <w:p w14:paraId="3AFA9ACC" w14:textId="77777777" w:rsidR="00FB0B7C" w:rsidRDefault="00FB0B7C" w:rsidP="00FB0B7C">
      <w:pPr>
        <w:pStyle w:val="p"/>
      </w:pPr>
      <w:r>
        <w:t xml:space="preserve">23. The </w:t>
      </w:r>
      <w:r w:rsidRPr="00FB0B7C">
        <w:rPr>
          <w:b/>
        </w:rPr>
        <w:t>Services for Object</w:t>
      </w:r>
      <w:r>
        <w:t xml:space="preserve"> dropdown is selected.</w:t>
      </w:r>
    </w:p>
    <w:p w14:paraId="3B115376" w14:textId="77777777" w:rsidR="00FB0B7C" w:rsidRDefault="00FB0B7C" w:rsidP="00FB0B7C">
      <w:pPr>
        <w:pStyle w:val="p"/>
      </w:pPr>
      <w:r>
        <w:t>24. </w:t>
      </w:r>
      <w:bookmarkStart w:id="23" w:name="TS_832F4B615CC7429DAA36006DA77FDBAB"/>
      <w:bookmarkEnd w:id="23"/>
      <w:r>
        <w:t>The</w:t>
      </w:r>
      <w:r w:rsidRPr="00FB0B7C">
        <w:rPr>
          <w:b/>
        </w:rPr>
        <w:t> Create </w:t>
      </w:r>
      <w:r w:rsidRPr="00FB0B7C">
        <w:t>menu item is clicked.</w:t>
      </w:r>
    </w:p>
    <w:p w14:paraId="22BB970F" w14:textId="77777777" w:rsidR="00FB0B7C" w:rsidRDefault="00FB0B7C" w:rsidP="00FB0B7C">
      <w:pPr>
        <w:pStyle w:val="p"/>
      </w:pPr>
      <w:r>
        <w:t>25. The</w:t>
      </w:r>
      <w:r w:rsidRPr="00FB0B7C">
        <w:rPr>
          <w:b/>
        </w:rPr>
        <w:t xml:space="preserve"> Create Attachment</w:t>
      </w:r>
      <w:r>
        <w:t xml:space="preserve"> menu item is selected.</w:t>
      </w:r>
    </w:p>
    <w:p w14:paraId="119ECEFA" w14:textId="77777777" w:rsidR="00FB0B7C" w:rsidRDefault="00FB0B7C" w:rsidP="00FB0B7C">
      <w:pPr>
        <w:pStyle w:val="p"/>
      </w:pPr>
      <w:bookmarkStart w:id="24" w:name="TS_5A11A6D975514C0A9D38D442657CF555"/>
      <w:bookmarkEnd w:id="24"/>
      <w:r>
        <w:t>The File Upload pop-up is displayed. The OK button is clicked to confirm we would like to upload a file to the SAP system.</w:t>
      </w:r>
    </w:p>
    <w:p w14:paraId="14770CF6" w14:textId="77777777" w:rsidR="00FB0B7C" w:rsidRDefault="00FB0B7C" w:rsidP="00FB0B7C">
      <w:pPr>
        <w:pStyle w:val="p"/>
      </w:pPr>
      <w:r>
        <w:t>26. The</w:t>
      </w:r>
      <w:r w:rsidRPr="00FB0B7C">
        <w:rPr>
          <w:b/>
        </w:rPr>
        <w:t> OK</w:t>
      </w:r>
      <w:r>
        <w:t xml:space="preserve"> button is clicked.</w:t>
      </w:r>
    </w:p>
    <w:p w14:paraId="3638FF6D" w14:textId="77777777" w:rsidR="00FB0B7C" w:rsidRDefault="00FB0B7C" w:rsidP="00FB0B7C">
      <w:pPr>
        <w:pStyle w:val="p"/>
      </w:pPr>
      <w:r>
        <w:t>27. </w:t>
      </w:r>
      <w:bookmarkStart w:id="25" w:name="TS_55C79D274A984E58970BBFCA7D3079C6"/>
      <w:bookmarkEnd w:id="25"/>
      <w:r>
        <w:t>The</w:t>
      </w:r>
      <w:r w:rsidRPr="00FB0B7C">
        <w:rPr>
          <w:b/>
        </w:rPr>
        <w:t xml:space="preserve"> 01 Sample attachment</w:t>
      </w:r>
      <w:r>
        <w:t xml:space="preserve"> </w:t>
      </w:r>
      <w:r w:rsidRPr="00FB0B7C">
        <w:rPr>
          <w:b/>
        </w:rPr>
        <w:t>File </w:t>
      </w:r>
      <w:r>
        <w:t>is clicked.</w:t>
      </w:r>
    </w:p>
    <w:p w14:paraId="43ABCC11" w14:textId="77777777" w:rsidR="00FB0B7C" w:rsidRDefault="00FB0B7C" w:rsidP="00FB0B7C">
      <w:pPr>
        <w:pStyle w:val="p"/>
      </w:pPr>
      <w:r>
        <w:t>28. </w:t>
      </w:r>
      <w:bookmarkStart w:id="26" w:name="TS_F993BDCC06204F9BB92A71240EFE02F3"/>
      <w:bookmarkEnd w:id="26"/>
      <w:r>
        <w:t xml:space="preserve">The </w:t>
      </w:r>
      <w:r w:rsidRPr="00FB0B7C">
        <w:rPr>
          <w:b/>
        </w:rPr>
        <w:t>Open</w:t>
      </w:r>
      <w:r>
        <w:t xml:space="preserve"> button is clicked.</w:t>
      </w:r>
    </w:p>
    <w:p w14:paraId="30C08F5A" w14:textId="77777777" w:rsidR="00FB0B7C" w:rsidRDefault="00FB0B7C" w:rsidP="00FB0B7C">
      <w:pPr>
        <w:pStyle w:val="p"/>
      </w:pPr>
      <w:bookmarkStart w:id="27" w:name="TS_E971F463346A4C36995A3DDF17DAFB0E"/>
      <w:bookmarkEnd w:id="27"/>
      <w:r>
        <w:t>The document attached should be verified as correct by selecting the Services for Object dropdown.</w:t>
      </w:r>
    </w:p>
    <w:p w14:paraId="66484E1A" w14:textId="77777777" w:rsidR="00FB0B7C" w:rsidRDefault="00FB0B7C" w:rsidP="00FB0B7C">
      <w:pPr>
        <w:pStyle w:val="p"/>
      </w:pPr>
      <w:r>
        <w:t xml:space="preserve">29. The </w:t>
      </w:r>
      <w:r w:rsidRPr="00FB0B7C">
        <w:rPr>
          <w:b/>
        </w:rPr>
        <w:t>Services for Object</w:t>
      </w:r>
      <w:r>
        <w:t xml:space="preserve"> dropdown clicked.</w:t>
      </w:r>
    </w:p>
    <w:p w14:paraId="7EE9368D" w14:textId="77777777" w:rsidR="00FB0B7C" w:rsidRDefault="00FB0B7C" w:rsidP="00FB0B7C">
      <w:pPr>
        <w:pStyle w:val="p"/>
      </w:pPr>
      <w:r>
        <w:t>30. </w:t>
      </w:r>
      <w:bookmarkStart w:id="28" w:name="TS_EF5F1BCDAD264E139297D623A9C1F65D"/>
      <w:bookmarkEnd w:id="28"/>
      <w:r>
        <w:t xml:space="preserve">The </w:t>
      </w:r>
      <w:r w:rsidRPr="00FB0B7C">
        <w:rPr>
          <w:b/>
        </w:rPr>
        <w:t>Attachment list</w:t>
      </w:r>
      <w:r>
        <w:t xml:space="preserve"> item is selected.</w:t>
      </w:r>
    </w:p>
    <w:p w14:paraId="53DEA9C5" w14:textId="77777777" w:rsidR="00FB0B7C" w:rsidRDefault="00FB0B7C" w:rsidP="00FB0B7C">
      <w:pPr>
        <w:pStyle w:val="p"/>
      </w:pPr>
      <w:bookmarkStart w:id="29" w:name="TS_7C82E494A79F40D784405CF9A08EF056"/>
      <w:bookmarkEnd w:id="29"/>
      <w:r w:rsidRPr="00FB0B7C">
        <w:t>The attached document is displayed. Multiple attachments can be created for this invoice.</w:t>
      </w:r>
    </w:p>
    <w:p w14:paraId="2023CFCC" w14:textId="77777777" w:rsidR="00F30CFA" w:rsidRDefault="00F30CFA" w:rsidP="00F30CFA">
      <w:pPr>
        <w:pStyle w:val="p"/>
      </w:pPr>
      <w:r>
        <w:t>31. </w:t>
      </w:r>
      <w:bookmarkStart w:id="30" w:name="TS_D00A19BE26A64989A3D287B3850A15FF"/>
      <w:bookmarkEnd w:id="30"/>
      <w:r>
        <w:t xml:space="preserve">The </w:t>
      </w:r>
      <w:r w:rsidRPr="00F30CFA">
        <w:rPr>
          <w:b/>
        </w:rPr>
        <w:t xml:space="preserve">Continue </w:t>
      </w:r>
      <w:r>
        <w:t>button is clicked.</w:t>
      </w:r>
    </w:p>
    <w:p w14:paraId="18E787CC" w14:textId="77777777" w:rsidR="00F30CFA" w:rsidRDefault="00F30CFA" w:rsidP="00F30CFA">
      <w:pPr>
        <w:pStyle w:val="p"/>
      </w:pPr>
      <w:r>
        <w:t>32. </w:t>
      </w:r>
      <w:bookmarkStart w:id="31" w:name="TS_1995115B3E4743B2B9F6FE2434BA4283"/>
      <w:bookmarkEnd w:id="31"/>
      <w:r>
        <w:t xml:space="preserve">The </w:t>
      </w:r>
      <w:r w:rsidRPr="00F30CFA">
        <w:rPr>
          <w:b/>
        </w:rPr>
        <w:t>Save as Completed</w:t>
      </w:r>
      <w:r>
        <w:t xml:space="preserve"> button is clicked.</w:t>
      </w:r>
    </w:p>
    <w:p w14:paraId="055169EA" w14:textId="77777777" w:rsidR="00F30CFA" w:rsidRDefault="00F30CFA" w:rsidP="00F30CFA">
      <w:pPr>
        <w:pStyle w:val="p"/>
      </w:pPr>
      <w:bookmarkStart w:id="32" w:name="TS_1BA719C9E3FF48E083A45EF2EB62E2E2"/>
      <w:bookmarkEnd w:id="32"/>
      <w:r>
        <w:t>System Status Bar Confirmation:</w:t>
      </w:r>
    </w:p>
    <w:p w14:paraId="1F58F074" w14:textId="77777777" w:rsidR="00F30CFA" w:rsidRDefault="00F30CFA" w:rsidP="00F30CFA">
      <w:pPr>
        <w:pStyle w:val="p"/>
      </w:pPr>
      <w:r>
        <w:t>Preliminarily posted document 1900013824 1855 was changed and workflow has been triggered.</w:t>
      </w:r>
    </w:p>
    <w:p w14:paraId="320D5FB1" w14:textId="77777777" w:rsidR="00F30CFA" w:rsidRDefault="00F30CFA" w:rsidP="00F30CFA">
      <w:pPr>
        <w:pStyle w:val="p"/>
      </w:pPr>
      <w:bookmarkStart w:id="33" w:name="TS_D25743D097E84DBCAB0E75A75AB545E7"/>
      <w:bookmarkEnd w:id="33"/>
      <w:r w:rsidRPr="00F30CFA">
        <w:t>Once workflow is kicked off, do not make any changes through the Park Vendor Invoice tile. Adjustments must be made by going through the Inbox.  Refer to the Business Workplace_Inbox simulation for guidance with this process.</w:t>
      </w:r>
    </w:p>
    <w:p w14:paraId="461CE311" w14:textId="77777777" w:rsidR="00F30CFA" w:rsidRDefault="00F30CFA" w:rsidP="00F30CFA">
      <w:pPr>
        <w:pStyle w:val="p"/>
      </w:pPr>
      <w:r>
        <w:br w:type="page"/>
      </w:r>
      <w:r w:rsidRPr="00F30CFA">
        <w:rPr>
          <w:b/>
          <w:color w:val="1E407C"/>
          <w:sz w:val="36"/>
        </w:rPr>
        <w:t>Disclaimer</w:t>
      </w:r>
    </w:p>
    <w:p w14:paraId="5D3FCDE1" w14:textId="77777777" w:rsidR="00F30CFA" w:rsidRDefault="00F30CFA" w:rsidP="00F30CFA">
      <w:pPr>
        <w:pStyle w:val="p"/>
      </w:pPr>
      <w:r>
        <w:t> </w:t>
      </w:r>
    </w:p>
    <w:p w14:paraId="73CA0E3F" w14:textId="77777777" w:rsidR="00F30CFA" w:rsidRDefault="00F30CFA" w:rsidP="00F30CFA">
      <w:pPr>
        <w:pStyle w:val="p"/>
      </w:pPr>
      <w:r w:rsidRPr="00F30CFA">
        <w:rPr>
          <w:b/>
        </w:rPr>
        <w:t>Alternative Format Statement</w:t>
      </w:r>
      <w:r>
        <w:t xml:space="preserve"> </w:t>
      </w:r>
      <w:r>
        <w:br/>
        <w:t>This publication is available in alternative media upon request. </w:t>
      </w:r>
      <w:r>
        <w:br/>
        <w:t> </w:t>
      </w:r>
    </w:p>
    <w:p w14:paraId="29917B1A" w14:textId="77777777" w:rsidR="00F30CFA" w:rsidRDefault="00F30CFA" w:rsidP="00F30CFA">
      <w:pPr>
        <w:pStyle w:val="p"/>
      </w:pPr>
      <w:r w:rsidRPr="00F30CFA">
        <w:rPr>
          <w:b/>
        </w:rPr>
        <w:t>Statement of Non-Discrimination</w:t>
      </w:r>
      <w:r>
        <w:t xml:space="preserve"> </w:t>
      </w:r>
    </w:p>
    <w:p w14:paraId="4D2C63CB" w14:textId="77777777" w:rsidR="00F30CFA" w:rsidRPr="0001144E" w:rsidRDefault="00F30CFA" w:rsidP="00F30CFA">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15" w:history="1">
        <w:r>
          <w:rPr>
            <w:rStyle w:val="Hyperlink"/>
          </w:rPr>
          <w:t>aao@psu.edu</w:t>
        </w:r>
      </w:hyperlink>
      <w:r>
        <w:t>; Tel: 814-863-0471.</w:t>
      </w:r>
    </w:p>
    <w:sectPr w:rsidR="00F30CFA" w:rsidRPr="0001144E" w:rsidSect="00D71132">
      <w:headerReference w:type="default" r:id="rId16"/>
      <w:footerReference w:type="default" r:id="rId17"/>
      <w:footerReference w:type="first" r:id="rId18"/>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2D13AF" w14:textId="77777777" w:rsidR="00D77879" w:rsidRDefault="00D77879">
      <w:r>
        <w:separator/>
      </w:r>
    </w:p>
  </w:endnote>
  <w:endnote w:type="continuationSeparator" w:id="0">
    <w:p w14:paraId="2D8B2F29" w14:textId="77777777" w:rsidR="00D77879" w:rsidRDefault="00D77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14:paraId="6421B721" w14:textId="77777777" w:rsidTr="00FE641F">
      <w:tc>
        <w:tcPr>
          <w:tcW w:w="1615" w:type="pct"/>
          <w:vAlign w:val="center"/>
        </w:tcPr>
        <w:p w14:paraId="44793817" w14:textId="77777777" w:rsidR="00810983" w:rsidRPr="004F7C1B" w:rsidRDefault="00810983" w:rsidP="00304432">
          <w:pPr>
            <w:jc w:val="center"/>
            <w:rPr>
              <w:rFonts w:ascii="Calibri" w:hAnsi="Calibri" w:cs="Calibri"/>
              <w:sz w:val="22"/>
              <w:szCs w:val="22"/>
            </w:rPr>
          </w:pPr>
          <w:r w:rsidRPr="004F7C1B">
            <w:rPr>
              <w:rFonts w:ascii="Calibri" w:hAnsi="Calibri" w:cs="Calibri"/>
              <w:sz w:val="22"/>
              <w:szCs w:val="22"/>
            </w:rPr>
            <w:t>The Pennsylvania State University Project SIMBA</w:t>
          </w:r>
        </w:p>
        <w:p w14:paraId="7969AA69" w14:textId="0069958A" w:rsidR="00810983" w:rsidRPr="00A24DFA" w:rsidRDefault="00810983" w:rsidP="00304432">
          <w:pPr>
            <w:jc w:val="center"/>
            <w:rPr>
              <w:rFonts w:ascii="Cambria" w:hAnsi="Cambria" w:cs="Cambria"/>
              <w:sz w:val="22"/>
              <w:szCs w:val="22"/>
            </w:rPr>
          </w:pPr>
          <w:r w:rsidRPr="004F7C1B">
            <w:rPr>
              <w:rFonts w:ascii="Calibri" w:hAnsi="Calibri" w:cs="Calibri"/>
              <w:sz w:val="22"/>
              <w:szCs w:val="22"/>
            </w:rPr>
            <w:fldChar w:fldCharType="begin"/>
          </w:r>
          <w:r w:rsidRPr="004F7C1B">
            <w:rPr>
              <w:rFonts w:ascii="Calibri" w:hAnsi="Calibri" w:cs="Calibri"/>
              <w:sz w:val="22"/>
              <w:szCs w:val="22"/>
            </w:rPr>
            <w:instrText xml:space="preserve"> SAVEDATE \@ "MMMM d, yyyy" \* MERGEFORMAT </w:instrText>
          </w:r>
          <w:r w:rsidRPr="004F7C1B">
            <w:rPr>
              <w:rFonts w:ascii="Calibri" w:hAnsi="Calibri" w:cs="Calibri"/>
              <w:sz w:val="22"/>
              <w:szCs w:val="22"/>
            </w:rPr>
            <w:fldChar w:fldCharType="separate"/>
          </w:r>
          <w:r w:rsidR="001F5B74">
            <w:rPr>
              <w:rFonts w:ascii="Calibri" w:hAnsi="Calibri" w:cs="Calibri"/>
              <w:noProof/>
              <w:sz w:val="22"/>
              <w:szCs w:val="22"/>
            </w:rPr>
            <w:t>January 5, 2021</w:t>
          </w:r>
          <w:r w:rsidRPr="004F7C1B">
            <w:rPr>
              <w:rFonts w:ascii="Calibri" w:hAnsi="Calibri" w:cs="Calibri"/>
              <w:sz w:val="22"/>
              <w:szCs w:val="22"/>
            </w:rPr>
            <w:fldChar w:fldCharType="end"/>
          </w:r>
        </w:p>
      </w:tc>
      <w:tc>
        <w:tcPr>
          <w:tcW w:w="3385" w:type="pct"/>
          <w:vAlign w:val="center"/>
        </w:tcPr>
        <w:p w14:paraId="65BB791A" w14:textId="77777777" w:rsidR="00810983" w:rsidRDefault="004F7C1B">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7" type="#_x0000_t75" alt="LSI and SIMBA logos" style="width:305.25pt;height:59.25pt;visibility:visible">
                <v:imagedata r:id="rId1" o:title="LSI and SIMBA logos"/>
              </v:shape>
            </w:pict>
          </w:r>
          <w:r w:rsidR="00810983">
            <w:t xml:space="preserve">            </w:t>
          </w:r>
        </w:p>
      </w:tc>
    </w:tr>
  </w:tbl>
  <w:p w14:paraId="7C7B6146" w14:textId="77777777"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DB0CF" w14:textId="77777777" w:rsidR="00810983" w:rsidRDefault="004F7C1B"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28" type="#_x0000_t75" alt="LSI logo" style="width:107.25pt;height:69.7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D4A4C" w14:textId="77777777" w:rsidR="00D77879" w:rsidRDefault="00D77879">
      <w:r>
        <w:separator/>
      </w:r>
    </w:p>
  </w:footnote>
  <w:footnote w:type="continuationSeparator" w:id="0">
    <w:p w14:paraId="12A38EA4" w14:textId="77777777" w:rsidR="00D77879" w:rsidRDefault="00D77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AB3C3" w14:textId="0D496352" w:rsidR="00810983" w:rsidRPr="004F7C1B" w:rsidRDefault="00E824FC"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1F5B74">
      <w:rPr>
        <w:rFonts w:ascii="Calibri" w:hAnsi="Calibri" w:cs="Calibri"/>
        <w:color w:val="000000"/>
        <w:sz w:val="22"/>
        <w:szCs w:val="22"/>
      </w:rPr>
      <w:fldChar w:fldCharType="separate"/>
    </w:r>
    <w:r w:rsidR="001F5B74">
      <w:rPr>
        <w:rFonts w:ascii="Calibri" w:hAnsi="Calibri" w:cs="Calibri"/>
        <w:color w:val="000000"/>
        <w:sz w:val="22"/>
        <w:szCs w:val="22"/>
      </w:rPr>
      <w:t>FV60_Park Vendor Invoice-Tax Withholding</w:t>
    </w:r>
    <w:r>
      <w:rPr>
        <w:rFonts w:ascii="Calibri" w:hAnsi="Calibri" w:cs="Calibri"/>
        <w:color w:val="000000"/>
        <w:sz w:val="22"/>
        <w:szCs w:val="22"/>
      </w:rPr>
      <w:fldChar w:fldCharType="end"/>
    </w:r>
    <w:r>
      <w:rPr>
        <w:rFonts w:ascii="Calibri" w:hAnsi="Calibri" w:cs="Calibri"/>
        <w:color w:val="000000"/>
        <w:sz w:val="22"/>
        <w:szCs w:val="22"/>
      </w:rPr>
      <w:t xml:space="preserve"> </w:t>
    </w:r>
    <w:r w:rsidR="009D4850" w:rsidRPr="004F7C1B">
      <w:rPr>
        <w:rFonts w:ascii="Calibri" w:hAnsi="Calibri" w:cs="Calibri"/>
        <w:color w:val="000000"/>
        <w:sz w:val="22"/>
        <w:szCs w:val="22"/>
      </w:rPr>
      <w:t>SIMBA Hands-On Guide Alt. Form</w:t>
    </w:r>
    <w:r>
      <w:rPr>
        <w:rFonts w:ascii="Calibri" w:hAnsi="Calibri" w:cs="Calibri"/>
        <w:color w:val="000000"/>
        <w:sz w:val="22"/>
        <w:szCs w:val="22"/>
      </w:rPr>
      <w:t>.</w:t>
    </w:r>
  </w:p>
  <w:p w14:paraId="6ACF24EA" w14:textId="77777777" w:rsidR="00810983" w:rsidRPr="004F7C1B" w:rsidRDefault="00810983" w:rsidP="00304432">
    <w:pPr>
      <w:jc w:val="right"/>
      <w:rPr>
        <w:rFonts w:ascii="Calibri" w:hAnsi="Calibri" w:cs="Calibri"/>
        <w:sz w:val="22"/>
        <w:szCs w:val="22"/>
      </w:rPr>
    </w:pPr>
    <w:r w:rsidRPr="004F7C1B">
      <w:rPr>
        <w:rFonts w:ascii="Calibri" w:hAnsi="Calibri" w:cs="Calibri"/>
        <w:sz w:val="22"/>
        <w:szCs w:val="22"/>
      </w:rPr>
      <w:t xml:space="preserve">Page </w:t>
    </w:r>
    <w:r w:rsidRPr="004F7C1B">
      <w:rPr>
        <w:rFonts w:ascii="Calibri" w:hAnsi="Calibri" w:cs="Calibri"/>
        <w:sz w:val="22"/>
        <w:szCs w:val="22"/>
      </w:rPr>
      <w:fldChar w:fldCharType="begin"/>
    </w:r>
    <w:r w:rsidRPr="004F7C1B">
      <w:rPr>
        <w:rFonts w:ascii="Calibri" w:hAnsi="Calibri" w:cs="Calibri"/>
        <w:sz w:val="22"/>
        <w:szCs w:val="22"/>
      </w:rPr>
      <w:instrText xml:space="preserve"> PAGE </w:instrText>
    </w:r>
    <w:r w:rsidRPr="004F7C1B">
      <w:rPr>
        <w:rFonts w:ascii="Calibri" w:hAnsi="Calibri" w:cs="Calibri"/>
        <w:sz w:val="22"/>
        <w:szCs w:val="22"/>
      </w:rPr>
      <w:fldChar w:fldCharType="separate"/>
    </w:r>
    <w:r w:rsidRPr="004F7C1B">
      <w:rPr>
        <w:rFonts w:ascii="Calibri" w:hAnsi="Calibri" w:cs="Calibri"/>
        <w:noProof/>
        <w:sz w:val="22"/>
        <w:szCs w:val="22"/>
      </w:rPr>
      <w:t>9</w:t>
    </w:r>
    <w:r w:rsidRPr="004F7C1B">
      <w:rPr>
        <w:rFonts w:ascii="Calibri" w:hAnsi="Calibri" w:cs="Calibri"/>
        <w:sz w:val="22"/>
        <w:szCs w:val="22"/>
      </w:rPr>
      <w:fldChar w:fldCharType="end"/>
    </w:r>
    <w:r w:rsidRPr="004F7C1B">
      <w:rPr>
        <w:rFonts w:ascii="Calibri" w:hAnsi="Calibri" w:cs="Calibri"/>
        <w:sz w:val="22"/>
        <w:szCs w:val="22"/>
      </w:rPr>
      <w:t xml:space="preserve"> of </w:t>
    </w:r>
    <w:r w:rsidRPr="004F7C1B">
      <w:rPr>
        <w:rFonts w:ascii="Calibri" w:hAnsi="Calibri" w:cs="Calibri"/>
        <w:noProof/>
        <w:sz w:val="22"/>
        <w:szCs w:val="22"/>
      </w:rPr>
      <w:fldChar w:fldCharType="begin"/>
    </w:r>
    <w:r w:rsidRPr="004F7C1B">
      <w:rPr>
        <w:rFonts w:ascii="Calibri" w:hAnsi="Calibri" w:cs="Calibri"/>
        <w:noProof/>
        <w:sz w:val="22"/>
        <w:szCs w:val="22"/>
      </w:rPr>
      <w:instrText xml:space="preserve"> NUMPAGES  </w:instrText>
    </w:r>
    <w:r w:rsidRPr="004F7C1B">
      <w:rPr>
        <w:rFonts w:ascii="Calibri" w:hAnsi="Calibri" w:cs="Calibri"/>
        <w:noProof/>
        <w:sz w:val="22"/>
        <w:szCs w:val="22"/>
      </w:rPr>
      <w:fldChar w:fldCharType="separate"/>
    </w:r>
    <w:r w:rsidRPr="004F7C1B">
      <w:rPr>
        <w:rFonts w:ascii="Calibri" w:hAnsi="Calibri" w:cs="Calibri"/>
        <w:noProof/>
        <w:sz w:val="22"/>
        <w:szCs w:val="22"/>
      </w:rPr>
      <w:t>14</w:t>
    </w:r>
    <w:r w:rsidRPr="004F7C1B">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1996C5F"/>
    <w:multiLevelType w:val="hybridMultilevel"/>
    <w:tmpl w:val="418C0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1264F"/>
    <w:multiLevelType w:val="hybridMultilevel"/>
    <w:tmpl w:val="E0E4407C"/>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D60379"/>
    <w:multiLevelType w:val="hybridMultilevel"/>
    <w:tmpl w:val="8B3C055E"/>
    <w:lvl w:ilvl="0" w:tplc="5D2A6830">
      <w:start w:val="2"/>
      <w:numFmt w:val="bullet"/>
      <w:lvlText w:val="-"/>
      <w:lvlJc w:val="left"/>
      <w:pPr>
        <w:ind w:left="720" w:hanging="360"/>
      </w:pPr>
      <w:rPr>
        <w:rFonts w:ascii="Calibri" w:eastAsia="Calibri" w:hAnsi="Calibri" w:cs="Calibri" w:hint="default"/>
        <w:b w:val="0"/>
        <w:color w:val="auto"/>
      </w:rPr>
    </w:lvl>
    <w:lvl w:ilvl="1" w:tplc="C9D80C96">
      <w:start w:val="1"/>
      <w:numFmt w:val="decimal"/>
      <w:lvlText w:val="%2."/>
      <w:lvlJc w:val="left"/>
      <w:pPr>
        <w:ind w:left="1440" w:hanging="360"/>
      </w:pPr>
      <w:rPr>
        <w:rFonts w:hint="default"/>
        <w:b w:val="0"/>
        <w:color w:val="auto"/>
      </w:rPr>
    </w:lvl>
    <w:lvl w:ilvl="2" w:tplc="307A240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644A"/>
    <w:multiLevelType w:val="hybridMultilevel"/>
    <w:tmpl w:val="1D489844"/>
    <w:lvl w:ilvl="0" w:tplc="C778D95C">
      <w:start w:val="1"/>
      <w:numFmt w:val="decimal"/>
      <w:lvlText w:val="%1."/>
      <w:lvlJc w:val="left"/>
      <w:pPr>
        <w:ind w:left="720" w:hanging="360"/>
      </w:pPr>
      <w:rPr>
        <w:rFonts w:ascii="Calibri" w:eastAsia="Calibri" w:hAnsi="Calibri"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11"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12" w15:restartNumberingAfterBreak="0">
    <w:nsid w:val="16201177"/>
    <w:multiLevelType w:val="hybridMultilevel"/>
    <w:tmpl w:val="37EE294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6"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8"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9"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20"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1"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62AC8"/>
    <w:multiLevelType w:val="hybridMultilevel"/>
    <w:tmpl w:val="F33CDE92"/>
    <w:lvl w:ilvl="0" w:tplc="A02C2510">
      <w:start w:val="3"/>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4187717"/>
    <w:multiLevelType w:val="hybridMultilevel"/>
    <w:tmpl w:val="FA6EE992"/>
    <w:lvl w:ilvl="0" w:tplc="3B6E525A">
      <w:start w:val="5"/>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C6107"/>
    <w:multiLevelType w:val="hybridMultilevel"/>
    <w:tmpl w:val="1B026F0A"/>
    <w:lvl w:ilvl="0" w:tplc="7674A7F6">
      <w:start w:val="5"/>
      <w:numFmt w:val="bullet"/>
      <w:lvlText w:val="-"/>
      <w:lvlJc w:val="left"/>
      <w:pPr>
        <w:ind w:left="720"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19121E"/>
    <w:multiLevelType w:val="hybridMultilevel"/>
    <w:tmpl w:val="27369E9A"/>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5E1EFA"/>
    <w:multiLevelType w:val="hybridMultilevel"/>
    <w:tmpl w:val="7526A346"/>
    <w:lvl w:ilvl="0" w:tplc="5A9223C6">
      <w:start w:val="2"/>
      <w:numFmt w:val="bullet"/>
      <w:lvlText w:val="-"/>
      <w:lvlJc w:val="left"/>
      <w:pPr>
        <w:ind w:left="720" w:hanging="360"/>
      </w:pPr>
      <w:rPr>
        <w:rFonts w:ascii="Calibri" w:eastAsia="Calibri" w:hAnsi="Calibri" w:cs="Calibri" w:hint="default"/>
        <w:b w:val="0"/>
        <w:color w:val="auto"/>
      </w:rPr>
    </w:lvl>
    <w:lvl w:ilvl="1" w:tplc="0409000F">
      <w:start w:val="1"/>
      <w:numFmt w:val="decimal"/>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B72C65"/>
    <w:multiLevelType w:val="hybridMultilevel"/>
    <w:tmpl w:val="13FC17C4"/>
    <w:lvl w:ilvl="0" w:tplc="4342BBDA">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8" w15:restartNumberingAfterBreak="0">
    <w:nsid w:val="380F455C"/>
    <w:multiLevelType w:val="hybridMultilevel"/>
    <w:tmpl w:val="6A56B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9B29A0"/>
    <w:multiLevelType w:val="hybridMultilevel"/>
    <w:tmpl w:val="157A4548"/>
    <w:lvl w:ilvl="0" w:tplc="4B6CBDC4">
      <w:start w:val="9"/>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2C1CD7"/>
    <w:multiLevelType w:val="hybridMultilevel"/>
    <w:tmpl w:val="2F147B4C"/>
    <w:lvl w:ilvl="0" w:tplc="90CA1024">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4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5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52"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DF5AE7"/>
    <w:multiLevelType w:val="hybridMultilevel"/>
    <w:tmpl w:val="B51C7D94"/>
    <w:lvl w:ilvl="0" w:tplc="0409000F">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5B619C"/>
    <w:multiLevelType w:val="hybridMultilevel"/>
    <w:tmpl w:val="416ADBBE"/>
    <w:lvl w:ilvl="0" w:tplc="B94067D6">
      <w:start w:val="1"/>
      <w:numFmt w:val="decimal"/>
      <w:lvlText w:val="%1."/>
      <w:lvlJc w:val="left"/>
      <w:pPr>
        <w:ind w:left="720" w:hanging="360"/>
      </w:pPr>
      <w:rPr>
        <w:rFonts w:hint="default"/>
        <w:i w:val="0"/>
        <w:iCs w:val="0"/>
        <w:color w:val="auto"/>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59"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63" w15:restartNumberingAfterBreak="0">
    <w:nsid w:val="64A26522"/>
    <w:multiLevelType w:val="multilevel"/>
    <w:tmpl w:val="C9C65804"/>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4" w15:restartNumberingAfterBreak="0">
    <w:nsid w:val="69943399"/>
    <w:multiLevelType w:val="hybridMultilevel"/>
    <w:tmpl w:val="E36AF748"/>
    <w:lvl w:ilvl="0" w:tplc="275698A0">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70F5256D"/>
    <w:multiLevelType w:val="hybridMultilevel"/>
    <w:tmpl w:val="AC0CE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74720A29"/>
    <w:multiLevelType w:val="hybridMultilevel"/>
    <w:tmpl w:val="EF22A1AE"/>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72"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73"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1760AB"/>
    <w:multiLevelType w:val="hybridMultilevel"/>
    <w:tmpl w:val="482ABF9E"/>
    <w:lvl w:ilvl="0" w:tplc="9FF27F60">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831CE3"/>
    <w:multiLevelType w:val="hybridMultilevel"/>
    <w:tmpl w:val="C4EAE34E"/>
    <w:lvl w:ilvl="0" w:tplc="B94067D6">
      <w:start w:val="1"/>
      <w:numFmt w:val="decimal"/>
      <w:lvlText w:val="%1."/>
      <w:lvlJc w:val="left"/>
      <w:pPr>
        <w:ind w:left="720" w:hanging="360"/>
      </w:pPr>
      <w:rPr>
        <w:rFonts w:hint="default"/>
        <w:i w:val="0"/>
        <w:iCs w:val="0"/>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75"/>
  </w:num>
  <w:num w:numId="3">
    <w:abstractNumId w:val="46"/>
  </w:num>
  <w:num w:numId="4">
    <w:abstractNumId w:val="53"/>
  </w:num>
  <w:num w:numId="5">
    <w:abstractNumId w:val="39"/>
  </w:num>
  <w:num w:numId="6">
    <w:abstractNumId w:val="6"/>
  </w:num>
  <w:num w:numId="7">
    <w:abstractNumId w:val="32"/>
  </w:num>
  <w:num w:numId="8">
    <w:abstractNumId w:val="11"/>
  </w:num>
  <w:num w:numId="9">
    <w:abstractNumId w:val="62"/>
  </w:num>
  <w:num w:numId="10">
    <w:abstractNumId w:val="10"/>
  </w:num>
  <w:num w:numId="11">
    <w:abstractNumId w:val="58"/>
  </w:num>
  <w:num w:numId="12">
    <w:abstractNumId w:val="68"/>
  </w:num>
  <w:num w:numId="13">
    <w:abstractNumId w:val="40"/>
  </w:num>
  <w:num w:numId="14">
    <w:abstractNumId w:val="47"/>
  </w:num>
  <w:num w:numId="15">
    <w:abstractNumId w:val="2"/>
  </w:num>
  <w:num w:numId="16">
    <w:abstractNumId w:val="20"/>
  </w:num>
  <w:num w:numId="17">
    <w:abstractNumId w:val="24"/>
  </w:num>
  <w:num w:numId="18">
    <w:abstractNumId w:val="22"/>
  </w:num>
  <w:num w:numId="19">
    <w:abstractNumId w:val="9"/>
  </w:num>
  <w:num w:numId="20">
    <w:abstractNumId w:val="17"/>
  </w:num>
  <w:num w:numId="21">
    <w:abstractNumId w:val="56"/>
  </w:num>
  <w:num w:numId="22">
    <w:abstractNumId w:val="34"/>
  </w:num>
  <w:num w:numId="23">
    <w:abstractNumId w:val="48"/>
  </w:num>
  <w:num w:numId="24">
    <w:abstractNumId w:val="49"/>
  </w:num>
  <w:num w:numId="25">
    <w:abstractNumId w:val="43"/>
  </w:num>
  <w:num w:numId="26">
    <w:abstractNumId w:val="70"/>
  </w:num>
  <w:num w:numId="27">
    <w:abstractNumId w:val="65"/>
  </w:num>
  <w:num w:numId="28">
    <w:abstractNumId w:val="5"/>
  </w:num>
  <w:num w:numId="29">
    <w:abstractNumId w:val="19"/>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3"/>
  </w:num>
  <w:num w:numId="34">
    <w:abstractNumId w:val="15"/>
  </w:num>
  <w:num w:numId="35">
    <w:abstractNumId w:val="37"/>
  </w:num>
  <w:num w:numId="36">
    <w:abstractNumId w:val="71"/>
  </w:num>
  <w:num w:numId="37">
    <w:abstractNumId w:val="60"/>
  </w:num>
  <w:num w:numId="38">
    <w:abstractNumId w:val="55"/>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36"/>
  </w:num>
  <w:num w:numId="41">
    <w:abstractNumId w:val="44"/>
  </w:num>
  <w:num w:numId="42">
    <w:abstractNumId w:val="21"/>
  </w:num>
  <w:num w:numId="43">
    <w:abstractNumId w:val="29"/>
  </w:num>
  <w:num w:numId="44">
    <w:abstractNumId w:val="61"/>
  </w:num>
  <w:num w:numId="45">
    <w:abstractNumId w:val="42"/>
  </w:num>
  <w:num w:numId="46">
    <w:abstractNumId w:val="13"/>
  </w:num>
  <w:num w:numId="47">
    <w:abstractNumId w:val="50"/>
  </w:num>
  <w:num w:numId="48">
    <w:abstractNumId w:val="27"/>
  </w:num>
  <w:num w:numId="49">
    <w:abstractNumId w:val="23"/>
  </w:num>
  <w:num w:numId="50">
    <w:abstractNumId w:val="14"/>
  </w:num>
  <w:num w:numId="51">
    <w:abstractNumId w:val="77"/>
  </w:num>
  <w:num w:numId="52">
    <w:abstractNumId w:val="72"/>
  </w:num>
  <w:num w:numId="53">
    <w:abstractNumId w:val="25"/>
  </w:num>
  <w:num w:numId="54">
    <w:abstractNumId w:val="51"/>
  </w:num>
  <w:num w:numId="55">
    <w:abstractNumId w:val="59"/>
  </w:num>
  <w:num w:numId="56">
    <w:abstractNumId w:val="66"/>
  </w:num>
  <w:num w:numId="57">
    <w:abstractNumId w:val="63"/>
  </w:num>
  <w:num w:numId="58">
    <w:abstractNumId w:val="4"/>
  </w:num>
  <w:num w:numId="59">
    <w:abstractNumId w:val="76"/>
  </w:num>
  <w:num w:numId="60">
    <w:abstractNumId w:val="64"/>
  </w:num>
  <w:num w:numId="61">
    <w:abstractNumId w:val="38"/>
  </w:num>
  <w:num w:numId="62">
    <w:abstractNumId w:val="26"/>
  </w:num>
  <w:num w:numId="63">
    <w:abstractNumId w:val="30"/>
  </w:num>
  <w:num w:numId="64">
    <w:abstractNumId w:val="33"/>
  </w:num>
  <w:num w:numId="65">
    <w:abstractNumId w:val="28"/>
  </w:num>
  <w:num w:numId="66">
    <w:abstractNumId w:val="7"/>
  </w:num>
  <w:num w:numId="67">
    <w:abstractNumId w:val="35"/>
  </w:num>
  <w:num w:numId="68">
    <w:abstractNumId w:val="31"/>
  </w:num>
  <w:num w:numId="69">
    <w:abstractNumId w:val="54"/>
  </w:num>
  <w:num w:numId="70">
    <w:abstractNumId w:val="74"/>
  </w:num>
  <w:num w:numId="71">
    <w:abstractNumId w:val="12"/>
  </w:num>
  <w:num w:numId="72">
    <w:abstractNumId w:val="57"/>
  </w:num>
  <w:num w:numId="73">
    <w:abstractNumId w:val="3"/>
  </w:num>
  <w:num w:numId="74">
    <w:abstractNumId w:val="67"/>
  </w:num>
  <w:num w:numId="75">
    <w:abstractNumId w:val="41"/>
  </w:num>
  <w:num w:numId="76">
    <w:abstractNumId w:val="69"/>
  </w:num>
  <w:num w:numId="77">
    <w:abstractNumId w:val="45"/>
  </w:num>
  <w:num w:numId="78">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B350E"/>
    <w:rsid w:val="000002AA"/>
    <w:rsid w:val="0000264C"/>
    <w:rsid w:val="0000280B"/>
    <w:rsid w:val="00002A8E"/>
    <w:rsid w:val="00002DA1"/>
    <w:rsid w:val="00003CB0"/>
    <w:rsid w:val="00006DC5"/>
    <w:rsid w:val="00007211"/>
    <w:rsid w:val="0001144E"/>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22"/>
    <w:rsid w:val="00072F78"/>
    <w:rsid w:val="0007574F"/>
    <w:rsid w:val="0007667F"/>
    <w:rsid w:val="00077AF3"/>
    <w:rsid w:val="00082015"/>
    <w:rsid w:val="00082432"/>
    <w:rsid w:val="00083945"/>
    <w:rsid w:val="00084BF1"/>
    <w:rsid w:val="00093A0E"/>
    <w:rsid w:val="00093AF8"/>
    <w:rsid w:val="000942A9"/>
    <w:rsid w:val="00094604"/>
    <w:rsid w:val="000946D6"/>
    <w:rsid w:val="00094949"/>
    <w:rsid w:val="00096DBE"/>
    <w:rsid w:val="000A2F10"/>
    <w:rsid w:val="000A566C"/>
    <w:rsid w:val="000A5A96"/>
    <w:rsid w:val="000B1011"/>
    <w:rsid w:val="000B2D9F"/>
    <w:rsid w:val="000B504A"/>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B30"/>
    <w:rsid w:val="00174C6E"/>
    <w:rsid w:val="00177B49"/>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D97"/>
    <w:rsid w:val="001F3447"/>
    <w:rsid w:val="001F5B74"/>
    <w:rsid w:val="001F682C"/>
    <w:rsid w:val="001F6C5C"/>
    <w:rsid w:val="002005B0"/>
    <w:rsid w:val="0020440E"/>
    <w:rsid w:val="002048CD"/>
    <w:rsid w:val="00204E83"/>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50F9"/>
    <w:rsid w:val="002C4A0E"/>
    <w:rsid w:val="002C54D0"/>
    <w:rsid w:val="002C56C6"/>
    <w:rsid w:val="002C771C"/>
    <w:rsid w:val="002D5D2C"/>
    <w:rsid w:val="002D77DF"/>
    <w:rsid w:val="002E1767"/>
    <w:rsid w:val="002E27C4"/>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F3D"/>
    <w:rsid w:val="003A48C1"/>
    <w:rsid w:val="003A4AF8"/>
    <w:rsid w:val="003B298D"/>
    <w:rsid w:val="003B2E62"/>
    <w:rsid w:val="003B4EB1"/>
    <w:rsid w:val="003B6305"/>
    <w:rsid w:val="003B689C"/>
    <w:rsid w:val="003C0B38"/>
    <w:rsid w:val="003C4027"/>
    <w:rsid w:val="003C598D"/>
    <w:rsid w:val="003D0543"/>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765F"/>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4F7C1B"/>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0CFF"/>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95510"/>
    <w:rsid w:val="005A0EF4"/>
    <w:rsid w:val="005A2FB6"/>
    <w:rsid w:val="005A531F"/>
    <w:rsid w:val="005A5EA9"/>
    <w:rsid w:val="005A6B4E"/>
    <w:rsid w:val="005A7597"/>
    <w:rsid w:val="005B4BE8"/>
    <w:rsid w:val="005B7BC5"/>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04CE"/>
    <w:rsid w:val="00635C00"/>
    <w:rsid w:val="00640382"/>
    <w:rsid w:val="00640E67"/>
    <w:rsid w:val="006417AB"/>
    <w:rsid w:val="0064388C"/>
    <w:rsid w:val="00656EAE"/>
    <w:rsid w:val="00661BF5"/>
    <w:rsid w:val="00663441"/>
    <w:rsid w:val="006643FE"/>
    <w:rsid w:val="00664CF3"/>
    <w:rsid w:val="00665BA0"/>
    <w:rsid w:val="006668D7"/>
    <w:rsid w:val="00671F0B"/>
    <w:rsid w:val="0067323A"/>
    <w:rsid w:val="00676F1E"/>
    <w:rsid w:val="00677790"/>
    <w:rsid w:val="00677CBC"/>
    <w:rsid w:val="006807B8"/>
    <w:rsid w:val="00682EA6"/>
    <w:rsid w:val="00683AD3"/>
    <w:rsid w:val="00683B6C"/>
    <w:rsid w:val="006856B2"/>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53197"/>
    <w:rsid w:val="0075336B"/>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D36"/>
    <w:rsid w:val="007A4061"/>
    <w:rsid w:val="007A5E10"/>
    <w:rsid w:val="007A6EB4"/>
    <w:rsid w:val="007B2285"/>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141"/>
    <w:rsid w:val="008A279C"/>
    <w:rsid w:val="008B4D7E"/>
    <w:rsid w:val="008B4E50"/>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37925"/>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4875"/>
    <w:rsid w:val="009B4173"/>
    <w:rsid w:val="009B4434"/>
    <w:rsid w:val="009B76C4"/>
    <w:rsid w:val="009B7F52"/>
    <w:rsid w:val="009C0402"/>
    <w:rsid w:val="009C06EE"/>
    <w:rsid w:val="009C0BA8"/>
    <w:rsid w:val="009C1731"/>
    <w:rsid w:val="009C33CD"/>
    <w:rsid w:val="009C42D8"/>
    <w:rsid w:val="009C73A6"/>
    <w:rsid w:val="009C73DA"/>
    <w:rsid w:val="009C7C51"/>
    <w:rsid w:val="009D4850"/>
    <w:rsid w:val="009D78DE"/>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B6202"/>
    <w:rsid w:val="00AC3A7E"/>
    <w:rsid w:val="00AC7F4A"/>
    <w:rsid w:val="00AD0D53"/>
    <w:rsid w:val="00AD2697"/>
    <w:rsid w:val="00AD624A"/>
    <w:rsid w:val="00AE196C"/>
    <w:rsid w:val="00AE19A6"/>
    <w:rsid w:val="00AE573A"/>
    <w:rsid w:val="00AF36EF"/>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68BC"/>
    <w:rsid w:val="00D77879"/>
    <w:rsid w:val="00D810A6"/>
    <w:rsid w:val="00D84BDF"/>
    <w:rsid w:val="00D8547C"/>
    <w:rsid w:val="00D85FF6"/>
    <w:rsid w:val="00D90DB5"/>
    <w:rsid w:val="00D9235B"/>
    <w:rsid w:val="00DA1071"/>
    <w:rsid w:val="00DA41B4"/>
    <w:rsid w:val="00DB044A"/>
    <w:rsid w:val="00DB71ED"/>
    <w:rsid w:val="00DC1228"/>
    <w:rsid w:val="00DC23D8"/>
    <w:rsid w:val="00DC7658"/>
    <w:rsid w:val="00DC7C55"/>
    <w:rsid w:val="00DD04ED"/>
    <w:rsid w:val="00DD60E7"/>
    <w:rsid w:val="00DD751C"/>
    <w:rsid w:val="00DD7D5D"/>
    <w:rsid w:val="00DE797F"/>
    <w:rsid w:val="00DF00B8"/>
    <w:rsid w:val="00DF0A97"/>
    <w:rsid w:val="00DF0F97"/>
    <w:rsid w:val="00DF12ED"/>
    <w:rsid w:val="00DF4C23"/>
    <w:rsid w:val="00E04447"/>
    <w:rsid w:val="00E05556"/>
    <w:rsid w:val="00E11BFF"/>
    <w:rsid w:val="00E153CC"/>
    <w:rsid w:val="00E2711D"/>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24FC"/>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350E"/>
    <w:rsid w:val="00EB5765"/>
    <w:rsid w:val="00EC0A08"/>
    <w:rsid w:val="00EC1AA0"/>
    <w:rsid w:val="00EC74C7"/>
    <w:rsid w:val="00EC7521"/>
    <w:rsid w:val="00EE0A00"/>
    <w:rsid w:val="00EE0D49"/>
    <w:rsid w:val="00EE58DE"/>
    <w:rsid w:val="00EF1F9D"/>
    <w:rsid w:val="00EF69A9"/>
    <w:rsid w:val="00F01D40"/>
    <w:rsid w:val="00F121DD"/>
    <w:rsid w:val="00F218F7"/>
    <w:rsid w:val="00F230F6"/>
    <w:rsid w:val="00F23B61"/>
    <w:rsid w:val="00F24CA9"/>
    <w:rsid w:val="00F274D3"/>
    <w:rsid w:val="00F30CFA"/>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0B7C"/>
    <w:rsid w:val="00FB1696"/>
    <w:rsid w:val="00FB2567"/>
    <w:rsid w:val="00FC10EF"/>
    <w:rsid w:val="00FC1435"/>
    <w:rsid w:val="00FC3C8B"/>
    <w:rsid w:val="00FD0DD9"/>
    <w:rsid w:val="00FD46FC"/>
    <w:rsid w:val="00FD52D3"/>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77CDE0B5"/>
  <w15:docId w15:val="{D0F066C0-FABC-4D2B-92C3-7FE788893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cs="Times New Roman"/>
      <w:color w:val="auto"/>
      <w:sz w:val="24"/>
      <w:szCs w:val="24"/>
    </w:rPr>
  </w:style>
  <w:style w:type="character" w:customStyle="1" w:styleId="Heading8Char">
    <w:name w:val="Heading 8 Char"/>
    <w:aliases w:val="h8 Char"/>
    <w:link w:val="Heading8"/>
    <w:rsid w:val="002C771C"/>
    <w:rPr>
      <w:rFonts w:ascii="Times New Roman" w:eastAsia="MS Gothic" w:hAnsi="Times New Roman" w:cs="Times New Roman"/>
      <w:i/>
      <w:color w:val="auto"/>
      <w:sz w:val="24"/>
      <w:szCs w:val="24"/>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color w:val="auto"/>
      <w:sz w:val="24"/>
      <w:szCs w:val="22"/>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color w:val="auto"/>
      <w:szCs w:val="24"/>
      <w:lang w:eastAsia="en-CA"/>
    </w:rPr>
  </w:style>
  <w:style w:type="character" w:customStyle="1" w:styleId="CapHeading4Char">
    <w:name w:val="Cap_Heading_4 Char"/>
    <w:link w:val="CapHeading4"/>
    <w:rsid w:val="009F3A7E"/>
    <w:rPr>
      <w:rFonts w:ascii="Arial Bold" w:eastAsia="Times New Roman" w:hAnsi="Arial Bold" w:cs="Arial"/>
      <w:b/>
      <w:bCs/>
      <w:color w:val="auto"/>
      <w:sz w:val="24"/>
      <w:szCs w:val="28"/>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01144E"/>
    <w:rPr>
      <w:rFonts w:ascii="Calibri" w:hAnsi="Calibri" w:cs="Calibri"/>
      <w:noProof/>
      <w:color w:val="000000"/>
    </w:rPr>
  </w:style>
  <w:style w:type="character" w:customStyle="1" w:styleId="pChar">
    <w:name w:val="p Char"/>
    <w:link w:val="p"/>
    <w:rsid w:val="0001144E"/>
    <w:rPr>
      <w:rFonts w:eastAsia="Times New Roman" w:cs="Calibri"/>
      <w:noProof/>
      <w:color w:val="000000"/>
      <w:sz w:val="24"/>
      <w:szCs w:val="24"/>
      <w:u w:color="000000"/>
    </w:rPr>
  </w:style>
  <w:style w:type="paragraph" w:customStyle="1" w:styleId="pParagraphSCXW248709619BCX2">
    <w:name w:val="p.Paragraph SCXW248709619 BCX2"/>
    <w:basedOn w:val="p"/>
    <w:link w:val="pParagraphSCXW248709619BCX2Char"/>
    <w:rsid w:val="0001144E"/>
  </w:style>
  <w:style w:type="character" w:customStyle="1" w:styleId="pParagraphSCXW248709619BCX2Char">
    <w:name w:val="p.Paragraph SCXW248709619 BCX2 Char"/>
    <w:basedOn w:val="pChar"/>
    <w:link w:val="pParagraphSCXW248709619BCX2"/>
    <w:rsid w:val="0001144E"/>
    <w:rPr>
      <w:rFonts w:eastAsia="Times New Roman" w:cs="Calibri"/>
      <w:noProof/>
      <w:color w:val="000000"/>
      <w:sz w:val="24"/>
      <w:szCs w:val="24"/>
      <w:u w:color="000000"/>
    </w:rPr>
  </w:style>
  <w:style w:type="paragraph" w:customStyle="1" w:styleId="pParagraphSCXW170083491BCX2">
    <w:name w:val="p.Paragraph SCXW170083491 BCX2"/>
    <w:basedOn w:val="p"/>
    <w:link w:val="pParagraphSCXW170083491BCX2Char"/>
    <w:rsid w:val="0001144E"/>
  </w:style>
  <w:style w:type="character" w:customStyle="1" w:styleId="pParagraphSCXW170083491BCX2Char">
    <w:name w:val="p.Paragraph SCXW170083491 BCX2 Char"/>
    <w:basedOn w:val="pChar"/>
    <w:link w:val="pParagraphSCXW170083491BCX2"/>
    <w:rsid w:val="0001144E"/>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guru.psu.edu/resources/decision-tools/visa-document-char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uru.psu.edu/resources/decision-tools/non-us-citizen-payment-guidelines/non-us-citizen-payment-guidelin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uru.psu.edu/resources/decision-tools/non-us-citizen-payment-guidelines/non-us-citizen-payment-guidelines" TargetMode="External"/><Relationship Id="rId5" Type="http://schemas.openxmlformats.org/officeDocument/2006/relationships/webSettings" Target="webSettings.xml"/><Relationship Id="rId15" Type="http://schemas.openxmlformats.org/officeDocument/2006/relationships/hyperlink" Target="mailto:aao@psu.edu" TargetMode="External"/><Relationship Id="rId10" Type="http://schemas.openxmlformats.org/officeDocument/2006/relationships/hyperlink" Target="https://guru.psu.edu/resources/rates-and-schedules/simba-object-codes-ne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guru.psu.edu/resources/decision-tools/non-us-citizen-payment-guidelines/non-us-citizen-payment-guidelin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1E252-A99E-4792-A351-ABDB9076B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1331</Words>
  <Characters>7939</Characters>
  <Application>Microsoft Office Word</Application>
  <DocSecurity>0</DocSecurity>
  <Lines>256</Lines>
  <Paragraphs>38</Paragraphs>
  <ScaleCrop>false</ScaleCrop>
  <HeadingPairs>
    <vt:vector size="2" baseType="variant">
      <vt:variant>
        <vt:lpstr>Title</vt:lpstr>
      </vt:variant>
      <vt:variant>
        <vt:i4>1</vt:i4>
      </vt:variant>
    </vt:vector>
  </HeadingPairs>
  <TitlesOfParts>
    <vt:vector size="1" baseType="lpstr">
      <vt:lpstr>FV60_Park Vendor Invoice-Tax Withholding</vt:lpstr>
    </vt:vector>
  </TitlesOfParts>
  <Manager/>
  <Company>LSI Consulting</Company>
  <LinksUpToDate>false</LinksUpToDate>
  <CharactersWithSpaces>9232</CharactersWithSpaces>
  <SharedDoc>false</SharedDoc>
  <HyperlinkBase/>
  <HLinks>
    <vt:vector size="36" baseType="variant">
      <vt:variant>
        <vt:i4>7929938</vt:i4>
      </vt:variant>
      <vt:variant>
        <vt:i4>17</vt:i4>
      </vt:variant>
      <vt:variant>
        <vt:i4>0</vt:i4>
      </vt:variant>
      <vt:variant>
        <vt:i4>5</vt:i4>
      </vt:variant>
      <vt:variant>
        <vt:lpwstr>mailto:aao@psu.edu</vt:lpwstr>
      </vt:variant>
      <vt:variant>
        <vt:lpwstr/>
      </vt:variant>
      <vt:variant>
        <vt:i4>5570639</vt:i4>
      </vt:variant>
      <vt:variant>
        <vt:i4>14</vt:i4>
      </vt:variant>
      <vt:variant>
        <vt:i4>0</vt:i4>
      </vt:variant>
      <vt:variant>
        <vt:i4>5</vt:i4>
      </vt:variant>
      <vt:variant>
        <vt:lpwstr>https://guru.psu.edu/resources/decision-tools/non-us-citizen-payment-guidelines/non-us-citizen-payment-guidelines</vt:lpwstr>
      </vt:variant>
      <vt:variant>
        <vt:lpwstr/>
      </vt:variant>
      <vt:variant>
        <vt:i4>4259869</vt:i4>
      </vt:variant>
      <vt:variant>
        <vt:i4>11</vt:i4>
      </vt:variant>
      <vt:variant>
        <vt:i4>0</vt:i4>
      </vt:variant>
      <vt:variant>
        <vt:i4>5</vt:i4>
      </vt:variant>
      <vt:variant>
        <vt:lpwstr>https://guru.psu.edu/resources/decision-tools/visa-document-chart</vt:lpwstr>
      </vt:variant>
      <vt:variant>
        <vt:lpwstr/>
      </vt:variant>
      <vt:variant>
        <vt:i4>5570639</vt:i4>
      </vt:variant>
      <vt:variant>
        <vt:i4>8</vt:i4>
      </vt:variant>
      <vt:variant>
        <vt:i4>0</vt:i4>
      </vt:variant>
      <vt:variant>
        <vt:i4>5</vt:i4>
      </vt:variant>
      <vt:variant>
        <vt:lpwstr>https://guru.psu.edu/resources/decision-tools/non-us-citizen-payment-guidelines/non-us-citizen-payment-guidelines</vt:lpwstr>
      </vt:variant>
      <vt:variant>
        <vt:lpwstr/>
      </vt:variant>
      <vt:variant>
        <vt:i4>5570639</vt:i4>
      </vt:variant>
      <vt:variant>
        <vt:i4>5</vt:i4>
      </vt:variant>
      <vt:variant>
        <vt:i4>0</vt:i4>
      </vt:variant>
      <vt:variant>
        <vt:i4>5</vt:i4>
      </vt:variant>
      <vt:variant>
        <vt:lpwstr>https://guru.psu.edu/resources/decision-tools/non-us-citizen-payment-guidelines/non-us-citizen-payment-guidelines</vt:lpwstr>
      </vt:variant>
      <vt:variant>
        <vt:lpwstr/>
      </vt:variant>
      <vt:variant>
        <vt:i4>393283</vt:i4>
      </vt:variant>
      <vt:variant>
        <vt:i4>2</vt:i4>
      </vt:variant>
      <vt:variant>
        <vt:i4>0</vt:i4>
      </vt:variant>
      <vt:variant>
        <vt:i4>5</vt:i4>
      </vt:variant>
      <vt:variant>
        <vt:lpwstr>https://guru.psu.edu/resources/rates-and-schedules/simba-object-codes-new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FV60_Park Vendor Invoice-Tax Withholding</dc:title>
  <dc:subject/>
  <dc:creator>caa40</dc:creator>
  <cp:keywords/>
  <dc:description/>
  <cp:lastModifiedBy>Smith, Carly</cp:lastModifiedBy>
  <cp:revision>2</cp:revision>
  <cp:lastPrinted>2018-06-14T13:52:00Z</cp:lastPrinted>
  <dcterms:created xsi:type="dcterms:W3CDTF">2021-01-05T19:02:00Z</dcterms:created>
  <dcterms:modified xsi:type="dcterms:W3CDTF">2021-01-05T19:02:00Z</dcterms:modified>
  <cp:category/>
</cp:coreProperties>
</file>