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B5C" w:rsidRPr="00A864EF" w:rsidRDefault="00745B5C" w:rsidP="00745B5C">
      <w:pPr>
        <w:spacing w:line="360" w:lineRule="auto"/>
        <w:rPr>
          <w:b/>
        </w:rPr>
      </w:pPr>
      <w:bookmarkStart w:id="0" w:name="_GoBack"/>
      <w:bookmarkEnd w:id="0"/>
      <w:r w:rsidRPr="00A864EF">
        <w:rPr>
          <w:b/>
        </w:rPr>
        <w:t>Supplementary Material</w:t>
      </w:r>
    </w:p>
    <w:p w:rsidR="00745B5C" w:rsidRDefault="00745B5C" w:rsidP="00745B5C">
      <w:pPr>
        <w:spacing w:line="360" w:lineRule="auto"/>
        <w:jc w:val="both"/>
      </w:pPr>
      <w:r>
        <w:rPr>
          <w:u w:val="single"/>
        </w:rPr>
        <w:br/>
        <w:t>Contents</w:t>
      </w:r>
    </w:p>
    <w:p w:rsidR="00745B5C" w:rsidRDefault="00745B5C" w:rsidP="00745B5C">
      <w:pPr>
        <w:pStyle w:val="ListParagraph"/>
        <w:numPr>
          <w:ilvl w:val="0"/>
          <w:numId w:val="12"/>
        </w:numPr>
        <w:spacing w:line="360" w:lineRule="auto"/>
        <w:jc w:val="both"/>
      </w:pPr>
      <w:r>
        <w:t>Additional description of the Good Judgment Project’s methodology</w:t>
      </w:r>
    </w:p>
    <w:p w:rsidR="00745B5C" w:rsidRDefault="00745B5C" w:rsidP="00745B5C">
      <w:pPr>
        <w:pStyle w:val="ListParagraph"/>
        <w:numPr>
          <w:ilvl w:val="0"/>
          <w:numId w:val="12"/>
        </w:numPr>
        <w:spacing w:line="360" w:lineRule="auto"/>
        <w:jc w:val="both"/>
      </w:pPr>
      <w:r>
        <w:t>Formal description of method for calculating rounding errors</w:t>
      </w:r>
    </w:p>
    <w:p w:rsidR="00745B5C" w:rsidRDefault="00745B5C" w:rsidP="00745B5C">
      <w:pPr>
        <w:pStyle w:val="ListParagraph"/>
        <w:numPr>
          <w:ilvl w:val="0"/>
          <w:numId w:val="12"/>
        </w:numPr>
        <w:spacing w:line="360" w:lineRule="auto"/>
        <w:jc w:val="both"/>
      </w:pPr>
      <w:r>
        <w:t>Full results for analysis of returns to precision across time horizons</w:t>
      </w:r>
    </w:p>
    <w:p w:rsidR="00745B5C" w:rsidRDefault="00745B5C" w:rsidP="00745B5C">
      <w:pPr>
        <w:pStyle w:val="ListParagraph"/>
        <w:numPr>
          <w:ilvl w:val="0"/>
          <w:numId w:val="12"/>
        </w:numPr>
        <w:spacing w:line="360" w:lineRule="auto"/>
        <w:jc w:val="both"/>
      </w:pPr>
      <w:r>
        <w:t>Analysis of returns to precision across question types</w:t>
      </w:r>
    </w:p>
    <w:p w:rsidR="00745B5C" w:rsidRDefault="00745B5C" w:rsidP="00745B5C">
      <w:pPr>
        <w:pStyle w:val="ListParagraph"/>
        <w:numPr>
          <w:ilvl w:val="0"/>
          <w:numId w:val="12"/>
        </w:numPr>
        <w:spacing w:line="360" w:lineRule="auto"/>
        <w:jc w:val="both"/>
      </w:pPr>
      <w:r>
        <w:t>Additional description of the Good Judgment Project’s training module</w:t>
      </w:r>
    </w:p>
    <w:p w:rsidR="00745B5C" w:rsidRDefault="00745B5C" w:rsidP="00745B5C">
      <w:pPr>
        <w:pStyle w:val="ListParagraph"/>
        <w:numPr>
          <w:ilvl w:val="0"/>
          <w:numId w:val="12"/>
        </w:numPr>
        <w:spacing w:line="360" w:lineRule="auto"/>
        <w:jc w:val="both"/>
      </w:pPr>
      <w:r>
        <w:t>Descriptive statistics for GJP forecasters’ individual attributes</w:t>
      </w:r>
    </w:p>
    <w:p w:rsidR="00745B5C" w:rsidRPr="00A53C67" w:rsidRDefault="00745B5C" w:rsidP="00745B5C">
      <w:pPr>
        <w:spacing w:line="360" w:lineRule="auto"/>
        <w:jc w:val="both"/>
      </w:pPr>
      <w:r>
        <w:br/>
      </w:r>
      <w:r>
        <w:rPr>
          <w:u w:val="single"/>
        </w:rPr>
        <w:t>I.  Further description of the Good Judgment Project’s Methodology</w:t>
      </w:r>
      <w:r>
        <w:rPr>
          <w:rStyle w:val="FootnoteReference"/>
        </w:rPr>
        <w:footnoteReference w:id="1"/>
      </w:r>
    </w:p>
    <w:p w:rsidR="00745B5C" w:rsidRPr="00A864EF" w:rsidRDefault="00745B5C" w:rsidP="00745B5C">
      <w:pPr>
        <w:spacing w:line="360" w:lineRule="auto"/>
        <w:rPr>
          <w:u w:val="single"/>
        </w:rPr>
      </w:pPr>
      <w:r>
        <w:t>T</w:t>
      </w:r>
      <w:r w:rsidRPr="00E9345C">
        <w:t xml:space="preserve">he Intelligence Advanced </w:t>
      </w:r>
      <w:r>
        <w:t>Research Projects Activity</w:t>
      </w:r>
      <w:r w:rsidRPr="00E9345C">
        <w:t xml:space="preserve"> hosted </w:t>
      </w:r>
      <w:r>
        <w:t xml:space="preserve">four </w:t>
      </w:r>
      <w:r w:rsidRPr="00E9345C">
        <w:t xml:space="preserve">forecasting tournaments from 2011 to 2015. Five university-based research groups competed to recruit forecasters, elicit predictions, and aggregate those predictions as accurately as possible. </w:t>
      </w:r>
      <w:r>
        <w:t xml:space="preserve">Each </w:t>
      </w:r>
      <w:r w:rsidRPr="00E9345C">
        <w:t>tourn</w:t>
      </w:r>
      <w:r>
        <w:t>ament lasted for approximately nine</w:t>
      </w:r>
      <w:r w:rsidRPr="00E9345C">
        <w:t xml:space="preserve"> months of </w:t>
      </w:r>
      <w:r>
        <w:t>th</w:t>
      </w:r>
      <w:r w:rsidRPr="00E9345C">
        <w:t>e year.</w:t>
      </w:r>
      <w:r>
        <w:t xml:space="preserve"> T</w:t>
      </w:r>
      <w:r w:rsidRPr="00E9345C">
        <w:t>he Good Judgment Project</w:t>
      </w:r>
      <w:r>
        <w:t xml:space="preserve"> (GJP) was one of the five teams in this competition. GJP recruited forecasters </w:t>
      </w:r>
      <w:r w:rsidRPr="00E9345C">
        <w:t xml:space="preserve">via professional societies, research centers, alumni associations, science blogs, and word of mouth. </w:t>
      </w:r>
      <w:r>
        <w:t>Participation r</w:t>
      </w:r>
      <w:r w:rsidRPr="00E9345C">
        <w:t>equired a bachelor’s degree or higher and completion of a battery of psychological and political</w:t>
      </w:r>
      <w:r>
        <w:t xml:space="preserve"> tests that took an average of two</w:t>
      </w:r>
      <w:r w:rsidRPr="00E9345C">
        <w:t xml:space="preserve"> hours. Individuals who met the requirements were largely U.S. citizens (76%) and males (83%); their average age was 36. Almost two thirds (64%) </w:t>
      </w:r>
      <w:r>
        <w:t>had some postgraduate training.</w:t>
      </w:r>
    </w:p>
    <w:p w:rsidR="00745B5C" w:rsidRDefault="00745B5C" w:rsidP="00745B5C">
      <w:pPr>
        <w:spacing w:line="360" w:lineRule="auto"/>
        <w:jc w:val="both"/>
        <w:rPr>
          <w:i/>
        </w:rPr>
      </w:pPr>
    </w:p>
    <w:p w:rsidR="00745B5C" w:rsidRDefault="00745B5C" w:rsidP="00745B5C">
      <w:pPr>
        <w:spacing w:line="360" w:lineRule="auto"/>
        <w:jc w:val="both"/>
        <w:rPr>
          <w:i/>
        </w:rPr>
      </w:pPr>
    </w:p>
    <w:p w:rsidR="00745B5C" w:rsidRPr="00486F3A" w:rsidRDefault="00745B5C" w:rsidP="00745B5C">
      <w:pPr>
        <w:spacing w:line="360" w:lineRule="auto"/>
        <w:jc w:val="both"/>
        <w:rPr>
          <w:i/>
        </w:rPr>
      </w:pPr>
      <w:r>
        <w:rPr>
          <w:i/>
        </w:rPr>
        <w:lastRenderedPageBreak/>
        <w:t>Questions</w:t>
      </w:r>
    </w:p>
    <w:p w:rsidR="00745B5C" w:rsidRDefault="00745B5C" w:rsidP="00745B5C">
      <w:pPr>
        <w:spacing w:line="360" w:lineRule="auto"/>
        <w:ind w:firstLine="270"/>
        <w:rPr>
          <w:color w:val="000000"/>
        </w:rPr>
      </w:pPr>
      <w:r>
        <w:t>To forecast, p</w:t>
      </w:r>
      <w:r w:rsidRPr="00E9345C">
        <w:t xml:space="preserve">articipants logged onto </w:t>
      </w:r>
      <w:r>
        <w:t>a</w:t>
      </w:r>
      <w:r w:rsidRPr="00E9345C">
        <w:t xml:space="preserve"> website, www.goodjudgment.com. Each year, they were given approximately 125 geopolitical questions. They could select their own questions and answer as many as they wished. However, if they wanted to be paid, they needed t</w:t>
      </w:r>
      <w:r>
        <w:t>o make forecasts for at least thirty</w:t>
      </w:r>
      <w:r w:rsidRPr="00E9345C">
        <w:t xml:space="preserve"> questions. </w:t>
      </w:r>
      <w:r>
        <w:t>They</w:t>
      </w:r>
      <w:r w:rsidRPr="00E9345C">
        <w:t xml:space="preserve"> were encouraged to update their beliefs as often as they wished before the close of each question. Questions were launched almost every week and remained open for an</w:t>
      </w:r>
      <w:r>
        <w:t xml:space="preserve"> average of 102 days (range: 2-</w:t>
      </w:r>
      <w:r w:rsidRPr="00E9345C">
        <w:t>418 days). An example question was, “Will Italy’s Silvio Berlusconi resign, lose re-election/confidence vote, or otherwise vacate office before 1 January 2012?” Participants predicted the chance the event would occur, on a scale from 0% (</w:t>
      </w:r>
      <w:r w:rsidRPr="00E9345C">
        <w:rPr>
          <w:i/>
          <w:iCs/>
        </w:rPr>
        <w:t>certain it will not occur</w:t>
      </w:r>
      <w:r w:rsidRPr="00E9345C">
        <w:t>) to 100% (</w:t>
      </w:r>
      <w:r w:rsidRPr="00E9345C">
        <w:rPr>
          <w:i/>
          <w:iCs/>
        </w:rPr>
        <w:t>certain it will occur</w:t>
      </w:r>
      <w:r w:rsidRPr="00E9345C">
        <w:t xml:space="preserve">). </w:t>
      </w:r>
    </w:p>
    <w:p w:rsidR="00745B5C" w:rsidRPr="00486F3A" w:rsidRDefault="00745B5C" w:rsidP="00745B5C">
      <w:pPr>
        <w:spacing w:line="360" w:lineRule="auto"/>
        <w:jc w:val="both"/>
        <w:rPr>
          <w:i/>
          <w:color w:val="000000"/>
        </w:rPr>
      </w:pPr>
      <w:r>
        <w:rPr>
          <w:color w:val="000000"/>
        </w:rPr>
        <w:br/>
      </w:r>
      <w:r>
        <w:rPr>
          <w:i/>
          <w:color w:val="000000"/>
        </w:rPr>
        <w:t>Accuracy scoring and incentives</w:t>
      </w:r>
    </w:p>
    <w:p w:rsidR="00745B5C" w:rsidRPr="00A864EF" w:rsidRDefault="00745B5C" w:rsidP="00745B5C">
      <w:pPr>
        <w:autoSpaceDE w:val="0"/>
        <w:autoSpaceDN w:val="0"/>
        <w:adjustRightInd w:val="0"/>
        <w:spacing w:after="0" w:line="360" w:lineRule="auto"/>
        <w:ind w:firstLine="270"/>
      </w:pPr>
      <w:r w:rsidRPr="00E9345C">
        <w:t>All forecasters were given the goal of minimizing</w:t>
      </w:r>
      <w:r>
        <w:t xml:space="preserve"> their average Brier score</w:t>
      </w:r>
      <w:r w:rsidRPr="00E9345C">
        <w:t>. Forecasters who met the minimum participation requirements of ma</w:t>
      </w:r>
      <w:r>
        <w:t>king predictions for at least thirty</w:t>
      </w:r>
      <w:r w:rsidRPr="00E9345C">
        <w:t xml:space="preserve"> questions received $150 at the end of Year 1 and $250 at the end of Years 2, 3, and 4</w:t>
      </w:r>
      <w:r>
        <w:t>,</w:t>
      </w:r>
      <w:r w:rsidRPr="00E9345C">
        <w:t xml:space="preserve"> regardless of their accuracy. Year 2 returnees were given a $100 bonus. Forecasters also received status rewards for their performance via leader boards that displayed the Brier scores for the top 10% of forecasters in each experimental condition and their own score. Those who served in teams (regular teams and superforecaster teams) also saw team Brier scores (defined as medians rather than means, to encourage harmony). </w:t>
      </w:r>
    </w:p>
    <w:p w:rsidR="00745B5C" w:rsidRDefault="00745B5C" w:rsidP="00745B5C">
      <w:pPr>
        <w:autoSpaceDE w:val="0"/>
        <w:autoSpaceDN w:val="0"/>
        <w:adjustRightInd w:val="0"/>
        <w:spacing w:after="0" w:line="360" w:lineRule="auto"/>
        <w:rPr>
          <w:i/>
        </w:rPr>
      </w:pPr>
    </w:p>
    <w:p w:rsidR="00745B5C" w:rsidRPr="00486F3A" w:rsidRDefault="00745B5C" w:rsidP="00745B5C">
      <w:pPr>
        <w:autoSpaceDE w:val="0"/>
        <w:autoSpaceDN w:val="0"/>
        <w:adjustRightInd w:val="0"/>
        <w:spacing w:after="0" w:line="360" w:lineRule="auto"/>
        <w:rPr>
          <w:i/>
        </w:rPr>
      </w:pPr>
      <w:r w:rsidRPr="00486F3A">
        <w:rPr>
          <w:i/>
        </w:rPr>
        <w:t>Experimental Designs</w:t>
      </w:r>
    </w:p>
    <w:p w:rsidR="00745B5C" w:rsidRDefault="00745B5C" w:rsidP="00745B5C">
      <w:pPr>
        <w:autoSpaceDE w:val="0"/>
        <w:autoSpaceDN w:val="0"/>
        <w:adjustRightInd w:val="0"/>
        <w:spacing w:after="0" w:line="360" w:lineRule="auto"/>
        <w:ind w:firstLine="270"/>
      </w:pPr>
      <w:r w:rsidRPr="00E9345C">
        <w:t>The Good Judgment Project had different experimental designs each year. Forecasters were randomly assigned to conditions, and if they continued for additional years, they</w:t>
      </w:r>
      <w:r>
        <w:t xml:space="preserve"> usually</w:t>
      </w:r>
      <w:r w:rsidRPr="00E9345C">
        <w:t xml:space="preserve"> remained in the same condition unless they became superforecasters. Superforecasters were the top 2% of forecasters selected from all conditions at the end of each year. These individuals were assigned to elite teams of roughly 15 members each and worked with each other. </w:t>
      </w:r>
    </w:p>
    <w:p w:rsidR="00745B5C" w:rsidRDefault="00745B5C" w:rsidP="00745B5C">
      <w:pPr>
        <w:autoSpaceDE w:val="0"/>
        <w:autoSpaceDN w:val="0"/>
        <w:adjustRightInd w:val="0"/>
        <w:spacing w:after="0" w:line="360" w:lineRule="auto"/>
        <w:ind w:firstLine="270"/>
      </w:pPr>
      <w:r w:rsidRPr="00E9345C">
        <w:t xml:space="preserve">In Year 1, </w:t>
      </w:r>
      <w:r>
        <w:t>GJP</w:t>
      </w:r>
      <w:r w:rsidRPr="00E9345C">
        <w:t xml:space="preserve"> randomly assigned </w:t>
      </w:r>
      <w:r>
        <w:t xml:space="preserve">2,400 </w:t>
      </w:r>
      <w:r w:rsidRPr="00E9345C">
        <w:t xml:space="preserve">forecasters to one of 12 conditions based on a 3 x 4 factorial design of Training by Elicitation. Levels of training were No Training, Probability Training, and Scenario Training, and levels of elicitation were Control (independent forecasters), </w:t>
      </w:r>
      <w:r w:rsidRPr="00E9345C">
        <w:lastRenderedPageBreak/>
        <w:t xml:space="preserve">Crowd Beliefs (independent forecasters who saw the distribution of others’ forecasts but were unable to communicate), and Teams (forecasters who worked in groups of 15-20 and were asked to justify the basis of their forecasts to each other). </w:t>
      </w:r>
    </w:p>
    <w:p w:rsidR="00745B5C" w:rsidRDefault="00745B5C" w:rsidP="00745B5C">
      <w:pPr>
        <w:autoSpaceDE w:val="0"/>
        <w:autoSpaceDN w:val="0"/>
        <w:adjustRightInd w:val="0"/>
        <w:spacing w:after="0" w:line="360" w:lineRule="auto"/>
        <w:ind w:firstLine="270"/>
      </w:pPr>
      <w:r w:rsidRPr="00E9345C">
        <w:t xml:space="preserve">In Year 2, </w:t>
      </w:r>
      <w:r>
        <w:t>GJP had approximately 1,600 forecasters. Almost all returning participants remained in the same condition from Year 1. New participants were</w:t>
      </w:r>
      <w:r w:rsidRPr="00E9345C">
        <w:t xml:space="preserve"> assigned to </w:t>
      </w:r>
      <w:r>
        <w:t xml:space="preserve">one of </w:t>
      </w:r>
      <w:r w:rsidRPr="00E9345C">
        <w:t xml:space="preserve">6 conditions based on a 2 x 3 factorial design of Training </w:t>
      </w:r>
      <w:r>
        <w:t>b</w:t>
      </w:r>
      <w:r w:rsidRPr="00E9345C">
        <w:t xml:space="preserve">y Elicitation. Levels of training were No Training and Probability Training. Levels of Elicitation were a Control group (independent forecasters), Teams who worked in groups of 12 and were asked to justify their forecasts to each other, and Prediction Markets.  </w:t>
      </w:r>
      <w:r>
        <w:t>Assignments to conditions were done such that numbers of forecasters in each condition would be roughly equal. GJP</w:t>
      </w:r>
      <w:r w:rsidRPr="00E9345C">
        <w:t xml:space="preserve"> also had a 7</w:t>
      </w:r>
      <w:r w:rsidRPr="00E9345C">
        <w:rPr>
          <w:vertAlign w:val="superscript"/>
        </w:rPr>
        <w:t>th</w:t>
      </w:r>
      <w:r w:rsidRPr="00E9345C">
        <w:t xml:space="preserve"> condition with just Superforecasters from Year 1. </w:t>
      </w:r>
    </w:p>
    <w:p w:rsidR="00745B5C" w:rsidRDefault="00745B5C" w:rsidP="00745B5C">
      <w:pPr>
        <w:autoSpaceDE w:val="0"/>
        <w:autoSpaceDN w:val="0"/>
        <w:adjustRightInd w:val="0"/>
        <w:spacing w:after="0" w:line="360" w:lineRule="auto"/>
        <w:ind w:firstLine="270"/>
      </w:pPr>
      <w:r>
        <w:t xml:space="preserve">In </w:t>
      </w:r>
      <w:r w:rsidRPr="00E9345C">
        <w:t>Year 3</w:t>
      </w:r>
      <w:r>
        <w:t>, GJP</w:t>
      </w:r>
      <w:r w:rsidRPr="00E9345C">
        <w:t xml:space="preserve"> had 10 different conditions</w:t>
      </w:r>
      <w:r>
        <w:t xml:space="preserve"> and approximately 3,000 forecasters.</w:t>
      </w:r>
      <w:r w:rsidRPr="00E9345C">
        <w:t xml:space="preserve"> Four</w:t>
      </w:r>
      <w:r>
        <w:t xml:space="preserve"> conditions</w:t>
      </w:r>
      <w:r w:rsidRPr="00E9345C">
        <w:t xml:space="preserve"> were based on a 2 x 2 factorial design of Training by Elicitation. Levels of training were No Training and Probability Training. Levels of Elicitation were a Control group (independent forecasters), and Teams who worked in groups of 12 and were asked to justify their forecasts to each other. </w:t>
      </w:r>
      <w:r>
        <w:t>GJP</w:t>
      </w:r>
      <w:r w:rsidRPr="00E9345C">
        <w:t xml:space="preserve"> had 3 additional conditions </w:t>
      </w:r>
      <w:r>
        <w:t xml:space="preserve">that </w:t>
      </w:r>
      <w:r w:rsidRPr="00E9345C">
        <w:t>were different forms of Prediction Markets</w:t>
      </w:r>
      <w:r>
        <w:t>. Finally</w:t>
      </w:r>
      <w:r w:rsidRPr="00E9345C">
        <w:t>,</w:t>
      </w:r>
      <w:r>
        <w:t xml:space="preserve"> there was</w:t>
      </w:r>
      <w:r w:rsidRPr="00E9345C">
        <w:t xml:space="preserve"> a condition of Superforecasters from Years 1 and 2. </w:t>
      </w:r>
    </w:p>
    <w:p w:rsidR="00745B5C" w:rsidRDefault="00745B5C" w:rsidP="00745B5C">
      <w:pPr>
        <w:autoSpaceDE w:val="0"/>
        <w:autoSpaceDN w:val="0"/>
        <w:adjustRightInd w:val="0"/>
        <w:spacing w:after="0" w:line="360" w:lineRule="auto"/>
        <w:ind w:firstLine="270"/>
      </w:pPr>
      <w:r w:rsidRPr="00E9345C">
        <w:t>Year 4 had 20 different conditions and approximately 13,000 forecasters</w:t>
      </w:r>
      <w:r>
        <w:t>. GJP</w:t>
      </w:r>
      <w:r w:rsidRPr="00E9345C">
        <w:t xml:space="preserve"> devised three accountability conditions referred to as Outcome, Process, and Hybrid. Outcome accountability occurs when people </w:t>
      </w:r>
      <w:r>
        <w:t>we</w:t>
      </w:r>
      <w:r w:rsidRPr="00E9345C">
        <w:t xml:space="preserve">re held accountable for making accurate predictions about the outcomes of events. Process accountability occurs when people are held accountable for the process they used to make a judgment or decision. In this condition, forecasters made comments that would help other forecasters make their predictions. (These forecasters were also asked to make numerical forecasts, just as those in the Outcome condition were asked to make comments that would help other forecasters improve their accuracy.) Comments were rated on the basis of “usefulness,” and forecasters in this condition were given feedback scores reflecting “usefulness.” Finally, hybrid accountability refers to situations in which people are held accountable for both accurate predictions and the process by which those predictions are made. Hybrid forecasters made both comments and predictions, and they received feedback based on both factors. </w:t>
      </w:r>
    </w:p>
    <w:p w:rsidR="00745B5C" w:rsidRDefault="00745B5C" w:rsidP="00745B5C">
      <w:pPr>
        <w:autoSpaceDE w:val="0"/>
        <w:autoSpaceDN w:val="0"/>
        <w:adjustRightInd w:val="0"/>
        <w:spacing w:after="0" w:line="360" w:lineRule="auto"/>
        <w:ind w:firstLine="270"/>
      </w:pPr>
      <w:r w:rsidRPr="00E9345C">
        <w:lastRenderedPageBreak/>
        <w:t xml:space="preserve">Year 4 included a variety of other studies. For example, </w:t>
      </w:r>
      <w:r>
        <w:t>GJP</w:t>
      </w:r>
      <w:r w:rsidRPr="00E9345C">
        <w:t xml:space="preserve"> tested of the effect of te</w:t>
      </w:r>
      <w:r>
        <w:t>am size in the survey, varying</w:t>
      </w:r>
      <w:r w:rsidRPr="00E9345C">
        <w:t xml:space="preserve"> team</w:t>
      </w:r>
      <w:r>
        <w:t xml:space="preserve"> </w:t>
      </w:r>
      <w:r w:rsidRPr="00E9345C">
        <w:t>s</w:t>
      </w:r>
      <w:r>
        <w:t>ize</w:t>
      </w:r>
      <w:r w:rsidRPr="00E9345C">
        <w:t xml:space="preserve"> and had 1, 5, or 15 members.</w:t>
      </w:r>
      <w:r>
        <w:t xml:space="preserve"> GJP</w:t>
      </w:r>
      <w:r w:rsidRPr="00E9345C">
        <w:t xml:space="preserve"> also tested the effectiveness of batch auctions to set starting prices in the prediction markets. Although the introduction of the batch auction to determine prices on the first day did not increase the accuracy of the market’s predictions, it did reduce the skewness of total earnings. </w:t>
      </w:r>
      <w:r>
        <w:t>Finally, GJP</w:t>
      </w:r>
      <w:r w:rsidRPr="00E9345C">
        <w:t xml:space="preserve"> examined 3 different conditions in which forecasters were asked to provide continuous probability distributions for the outcomes of each question.</w:t>
      </w:r>
    </w:p>
    <w:p w:rsidR="00745B5C" w:rsidRDefault="00745B5C" w:rsidP="00745B5C">
      <w:pPr>
        <w:spacing w:line="360" w:lineRule="auto"/>
        <w:jc w:val="both"/>
        <w:rPr>
          <w:u w:val="single"/>
        </w:rPr>
      </w:pPr>
    </w:p>
    <w:p w:rsidR="00745B5C" w:rsidRDefault="00745B5C" w:rsidP="00745B5C">
      <w:pPr>
        <w:spacing w:line="360" w:lineRule="auto"/>
        <w:jc w:val="both"/>
        <w:rPr>
          <w:u w:val="single"/>
        </w:rPr>
      </w:pPr>
      <w:r>
        <w:rPr>
          <w:u w:val="single"/>
        </w:rPr>
        <w:t>II. Formal description of method for calculating rounding errors</w:t>
      </w:r>
    </w:p>
    <w:p w:rsidR="00745B5C" w:rsidRPr="00F64276" w:rsidRDefault="00745B5C" w:rsidP="00745B5C">
      <w:pPr>
        <w:spacing w:line="360" w:lineRule="auto"/>
        <w:rPr>
          <w:rFonts w:eastAsiaTheme="minorEastAsia"/>
        </w:rPr>
      </w:pPr>
      <w:r>
        <w:rPr>
          <w:rFonts w:eastAsiaTheme="minorEastAsia"/>
        </w:rPr>
        <w:t xml:space="preserve">As described in the paper’s “Data and Methods” section, our primary method for evaluating predictive accuracy is the commonly-used Brier Score. </w:t>
      </w:r>
      <w:r w:rsidRPr="00F64276">
        <w:rPr>
          <w:rFonts w:eastAsiaTheme="minorEastAsia"/>
        </w:rPr>
        <w:t xml:space="preserve">Brier Scores measure mean squared errors across assessments within a forecasting problem. </w:t>
      </w:r>
      <w:r w:rsidRPr="00F64276">
        <w:t>Brier Scores are a function of predicted probabilities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oMath>
      <w:r w:rsidRPr="00F64276">
        <w:rPr>
          <w:rFonts w:eastAsiaTheme="minorEastAsia"/>
        </w:rPr>
        <w:t xml:space="preserve"> and observed outcomes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n</m:t>
            </m:r>
          </m:sub>
        </m:sSub>
      </m:oMath>
      <w:r w:rsidRPr="00F64276">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n</m:t>
            </m:r>
          </m:sub>
        </m:sSub>
      </m:oMath>
      <w:r w:rsidRPr="00F64276">
        <w:rPr>
          <w:rFonts w:eastAsiaTheme="minorEastAsia"/>
        </w:rPr>
        <w:t xml:space="preserve"> takes the value of 1 when outcome </w:t>
      </w:r>
      <m:oMath>
        <m:r>
          <w:rPr>
            <w:rFonts w:ascii="Cambria Math" w:eastAsiaTheme="minorEastAsia" w:hAnsi="Cambria Math"/>
          </w:rPr>
          <m:t>n</m:t>
        </m:r>
      </m:oMath>
      <w:r w:rsidRPr="00F64276">
        <w:rPr>
          <w:rFonts w:eastAsiaTheme="minorEastAsia"/>
        </w:rPr>
        <w:t xml:space="preserve"> occurs and 0 when it does not. Brier Scores measure mean squared errors across assessments within a forecasting problem. The formula is </w:t>
      </w:r>
      <m:oMath>
        <m:r>
          <w:rPr>
            <w:rFonts w:ascii="Cambria Math" w:eastAsiaTheme="minorEastAsia" w:hAnsi="Cambria Math"/>
          </w:rPr>
          <m:t>(1/N)∙</m:t>
        </m:r>
        <m:nary>
          <m:naryPr>
            <m:chr m:val="∑"/>
            <m:limLoc m:val="subSup"/>
            <m:ctrlPr>
              <w:rPr>
                <w:rFonts w:ascii="Cambria Math" w:eastAsiaTheme="minorEastAsia" w:hAnsi="Cambria Math"/>
                <w:i/>
              </w:rPr>
            </m:ctrlPr>
          </m:naryPr>
          <m:sub>
            <m:r>
              <w:rPr>
                <w:rFonts w:ascii="Cambria Math" w:eastAsiaTheme="minorEastAsia" w:hAnsi="Cambria Math"/>
              </w:rPr>
              <m:t>1</m:t>
            </m:r>
          </m:sub>
          <m:sup>
            <m:r>
              <w:rPr>
                <w:rFonts w:ascii="Cambria Math" w:eastAsiaTheme="minorEastAsia" w:hAnsi="Cambria Math"/>
              </w:rPr>
              <m:t>N</m:t>
            </m:r>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e>
                </m:d>
              </m:e>
              <m:sup>
                <m:r>
                  <w:rPr>
                    <w:rFonts w:ascii="Cambria Math" w:eastAsiaTheme="minorEastAsia" w:hAnsi="Cambria Math"/>
                  </w:rPr>
                  <m:t>2</m:t>
                </m:r>
              </m:sup>
            </m:sSup>
          </m:e>
        </m:nary>
      </m:oMath>
      <w:r w:rsidRPr="00F64276">
        <w:rPr>
          <w:rFonts w:eastAsiaTheme="minorEastAsia"/>
        </w:rPr>
        <w:t xml:space="preserve">, where </w:t>
      </w:r>
      <m:oMath>
        <m:r>
          <w:rPr>
            <w:rFonts w:ascii="Cambria Math" w:eastAsiaTheme="minorEastAsia" w:hAnsi="Cambria Math"/>
          </w:rPr>
          <m:t>N</m:t>
        </m:r>
      </m:oMath>
      <w:r w:rsidRPr="00F64276">
        <w:rPr>
          <w:rFonts w:eastAsiaTheme="minorEastAsia"/>
        </w:rPr>
        <w:t xml:space="preserve"> is the number of predicted outcomes. As the Brier Score measures degrees of error, lower scores indicate more accurate assessments.</w:t>
      </w:r>
    </w:p>
    <w:p w:rsidR="00745B5C" w:rsidRPr="00F64276" w:rsidRDefault="00745B5C" w:rsidP="00745B5C">
      <w:pPr>
        <w:spacing w:line="360" w:lineRule="auto"/>
        <w:ind w:firstLine="270"/>
      </w:pPr>
      <w:r>
        <w:rPr>
          <w:rFonts w:eastAsiaTheme="minorEastAsia"/>
        </w:rPr>
        <w:t xml:space="preserve">We adopted a deliberately conservative approach to our statistical analysis by treating the forecasting question as our unit of analysis. </w:t>
      </w:r>
      <w:r w:rsidRPr="00F64276">
        <w:rPr>
          <w:rFonts w:eastAsiaTheme="minorEastAsia"/>
        </w:rPr>
        <w:t xml:space="preserve">To do so, we first identify a subset of forecasters to evaluate (all forecasters, superforecasters, etc.). We then calculate an </w:t>
      </w:r>
      <w:r w:rsidRPr="00F64276">
        <w:rPr>
          <w:rFonts w:eastAsiaTheme="minorEastAsia"/>
          <w:i/>
        </w:rPr>
        <w:t>aggregate Brier Score</w:t>
      </w:r>
      <w:r w:rsidRPr="00F64276">
        <w:rPr>
          <w:rFonts w:eastAsiaTheme="minorEastAsia"/>
        </w:rPr>
        <w:t xml:space="preserve"> for that group on each forecasting question. We calculate this score using the formula</w:t>
      </w:r>
      <w:r w:rsidRPr="00F64276">
        <w:t xml:space="preserve"> </w:t>
      </w:r>
      <m:oMath>
        <m:sSub>
          <m:sSubPr>
            <m:ctrlPr>
              <w:rPr>
                <w:rFonts w:ascii="Cambria Math" w:hAnsi="Cambria Math"/>
                <w:i/>
              </w:rPr>
            </m:ctrlPr>
          </m:sSubPr>
          <m:e>
            <m:r>
              <w:rPr>
                <w:rFonts w:ascii="Cambria Math" w:hAnsi="Cambria Math"/>
              </w:rPr>
              <m:t>x</m:t>
            </m:r>
          </m:e>
          <m:sub>
            <m:r>
              <w:rPr>
                <w:rFonts w:ascii="Cambria Math" w:hAnsi="Cambria Math"/>
              </w:rPr>
              <m:t>γj</m:t>
            </m:r>
          </m:sub>
        </m:sSub>
        <m:r>
          <w:rPr>
            <w:rFonts w:ascii="Cambria Math" w:hAnsi="Cambria Math"/>
          </w:rPr>
          <m:t>=mea</m:t>
        </m:r>
        <m:sSub>
          <m:sSubPr>
            <m:ctrlPr>
              <w:rPr>
                <w:rFonts w:ascii="Cambria Math" w:hAnsi="Cambria Math"/>
                <w:i/>
              </w:rPr>
            </m:ctrlPr>
          </m:sSubPr>
          <m:e>
            <m:r>
              <w:rPr>
                <w:rFonts w:ascii="Cambria Math" w:hAnsi="Cambria Math"/>
              </w:rPr>
              <m:t>n</m:t>
            </m:r>
          </m:e>
          <m:sub>
            <m:r>
              <w:rPr>
                <w:rFonts w:ascii="Cambria Math" w:hAnsi="Cambria Math"/>
              </w:rPr>
              <m:t>i∈γ</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mean</m:t>
                </m:r>
              </m:e>
              <m:sub>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ij</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Brier</m:t>
                    </m:r>
                  </m:e>
                  <m:sub>
                    <m:r>
                      <w:rPr>
                        <w:rFonts w:ascii="Cambria Math" w:hAnsi="Cambria Math"/>
                      </w:rPr>
                      <m:t>ijk</m:t>
                    </m:r>
                  </m:sub>
                </m:sSub>
              </m:e>
            </m:d>
          </m:e>
        </m:d>
      </m:oMath>
      <w:r w:rsidRPr="00F64276">
        <w:t xml:space="preserve">, where </w:t>
      </w:r>
      <m:oMath>
        <m:r>
          <w:rPr>
            <w:rFonts w:ascii="Cambria Math" w:hAnsi="Cambria Math"/>
          </w:rPr>
          <m:t>γ</m:t>
        </m:r>
      </m:oMath>
      <w:r w:rsidRPr="00F64276">
        <w:t xml:space="preserve"> is a subset of GJP forecasters; </w:t>
      </w:r>
      <m:oMath>
        <m:r>
          <w:rPr>
            <w:rFonts w:ascii="Cambria Math" w:hAnsi="Cambria Math"/>
          </w:rPr>
          <m:t>j</m:t>
        </m:r>
      </m:oMath>
      <w:r w:rsidRPr="00F64276">
        <w:rPr>
          <w:rFonts w:eastAsiaTheme="minorEastAsia"/>
        </w:rPr>
        <w:t xml:space="preserve"> is a forecasting question; </w:t>
      </w:r>
      <m:oMath>
        <m:r>
          <w:rPr>
            <w:rFonts w:ascii="Cambria Math" w:hAnsi="Cambria Math"/>
          </w:rPr>
          <m:t>mean(∙</m:t>
        </m:r>
        <m:r>
          <w:rPr>
            <w:rFonts w:ascii="Cambria Math" w:eastAsiaTheme="minorEastAsia" w:hAnsi="Cambria Math"/>
          </w:rPr>
          <m:t>)</m:t>
        </m:r>
      </m:oMath>
      <w:r w:rsidRPr="00F64276">
        <w:rPr>
          <w:rFonts w:eastAsiaTheme="minorEastAsia"/>
        </w:rPr>
        <w:t xml:space="preserve"> is the mean of a vector;</w:t>
      </w:r>
      <m:oMath>
        <m:r>
          <m:rPr>
            <m:sty m:val="p"/>
          </m:rPr>
          <w:rPr>
            <w:rFonts w:ascii="Cambria Math" w:hAnsi="Cambria Math"/>
          </w:rPr>
          <m:t xml:space="preserve"> </m:t>
        </m:r>
        <m:r>
          <w:rPr>
            <w:rFonts w:ascii="Cambria Math" w:hAnsi="Cambria Math"/>
          </w:rPr>
          <m:t>i</m:t>
        </m:r>
      </m:oMath>
      <w:r w:rsidRPr="00F64276">
        <w:t xml:space="preserve"> is a forecaster; </w:t>
      </w:r>
      <m:oMath>
        <m:r>
          <w:rPr>
            <w:rFonts w:ascii="Cambria Math" w:hAnsi="Cambria Math"/>
          </w:rPr>
          <m:t>k</m:t>
        </m:r>
      </m:oMath>
      <w:r w:rsidRPr="00F64276">
        <w:t xml:space="preserve"> is a day in the forecasting tournament; </w:t>
      </w:r>
      <m:oMath>
        <m:sSub>
          <m:sSubPr>
            <m:ctrlPr>
              <w:rPr>
                <w:rFonts w:ascii="Cambria Math" w:hAnsi="Cambria Math"/>
                <w:i/>
              </w:rPr>
            </m:ctrlPr>
          </m:sSubPr>
          <m:e>
            <m:r>
              <w:rPr>
                <w:rFonts w:ascii="Cambria Math" w:hAnsi="Cambria Math"/>
              </w:rPr>
              <m:t>K</m:t>
            </m:r>
          </m:e>
          <m:sub>
            <m:r>
              <w:rPr>
                <w:rFonts w:ascii="Cambria Math" w:hAnsi="Cambria Math"/>
              </w:rPr>
              <m:t>ij</m:t>
            </m:r>
          </m:sub>
        </m:sSub>
      </m:oMath>
      <w:r w:rsidRPr="00F64276">
        <w:t xml:space="preserve"> is the set of all forecasts made by forecaster </w:t>
      </w:r>
      <m:oMath>
        <m:r>
          <w:rPr>
            <w:rFonts w:ascii="Cambria Math" w:hAnsi="Cambria Math"/>
          </w:rPr>
          <m:t>i</m:t>
        </m:r>
      </m:oMath>
      <w:r w:rsidRPr="00F64276">
        <w:rPr>
          <w:i/>
        </w:rPr>
        <w:t xml:space="preserve"> </w:t>
      </w:r>
      <w:r w:rsidRPr="00F64276">
        <w:t xml:space="preserve">on question </w:t>
      </w:r>
      <m:oMath>
        <m:r>
          <w:rPr>
            <w:rFonts w:ascii="Cambria Math" w:hAnsi="Cambria Math"/>
          </w:rPr>
          <m:t>j</m:t>
        </m:r>
      </m:oMath>
      <w:r w:rsidRPr="00F64276">
        <w:rPr>
          <w:i/>
        </w:rPr>
        <w:t xml:space="preserve"> </w:t>
      </w:r>
      <w:r w:rsidRPr="00F64276">
        <w:t>while the question remained open;</w:t>
      </w:r>
      <w:r w:rsidRPr="00F64276">
        <w:rPr>
          <w:rStyle w:val="FootnoteReference"/>
        </w:rPr>
        <w:footnoteReference w:id="2"/>
      </w:r>
      <w:r w:rsidRPr="00F64276">
        <w:t xml:space="preserve"> </w:t>
      </w:r>
      <w:r w:rsidRPr="00F64276">
        <w:rPr>
          <w:rFonts w:eastAsiaTheme="minorEastAsia"/>
        </w:rPr>
        <w:t xml:space="preserve">and </w:t>
      </w:r>
      <m:oMath>
        <m:sSub>
          <m:sSubPr>
            <m:ctrlPr>
              <w:rPr>
                <w:rFonts w:ascii="Cambria Math" w:hAnsi="Cambria Math"/>
                <w:i/>
              </w:rPr>
            </m:ctrlPr>
          </m:sSubPr>
          <m:e>
            <m:r>
              <w:rPr>
                <w:rFonts w:ascii="Cambria Math" w:hAnsi="Cambria Math"/>
              </w:rPr>
              <m:t>Brier</m:t>
            </m:r>
          </m:e>
          <m:sub>
            <m:r>
              <w:rPr>
                <w:rFonts w:ascii="Cambria Math" w:hAnsi="Cambria Math"/>
              </w:rPr>
              <m:t>ijk</m:t>
            </m:r>
          </m:sub>
        </m:sSub>
      </m:oMath>
      <w:r w:rsidRPr="00F64276">
        <w:t xml:space="preserve"> is the Brier Score for an estimate made by a given forecaster on a </w:t>
      </w:r>
      <w:r w:rsidRPr="00F64276">
        <w:lastRenderedPageBreak/>
        <w:t>given question on a given day. Thus,</w:t>
      </w:r>
      <w:r w:rsidRPr="00F64276">
        <w:rPr>
          <w:i/>
        </w:rPr>
        <w:t xml:space="preserve"> </w:t>
      </w:r>
      <m:oMath>
        <m:sSub>
          <m:sSubPr>
            <m:ctrlPr>
              <w:rPr>
                <w:rFonts w:ascii="Cambria Math" w:hAnsi="Cambria Math"/>
                <w:i/>
              </w:rPr>
            </m:ctrlPr>
          </m:sSubPr>
          <m:e>
            <m:r>
              <w:rPr>
                <w:rFonts w:ascii="Cambria Math" w:hAnsi="Cambria Math"/>
              </w:rPr>
              <m:t>x</m:t>
            </m:r>
          </m:e>
          <m:sub>
            <m:r>
              <w:rPr>
                <w:rFonts w:ascii="Cambria Math" w:hAnsi="Cambria Math"/>
              </w:rPr>
              <m:t>γj</m:t>
            </m:r>
          </m:sub>
        </m:sSub>
      </m:oMath>
      <w:r w:rsidRPr="00F64276">
        <w:t xml:space="preserve"> provides a question-level point-estimate of forecast accuracy among forecasters </w:t>
      </w:r>
      <m:oMath>
        <m:r>
          <w:rPr>
            <w:rFonts w:ascii="Cambria Math" w:hAnsi="Cambria Math"/>
          </w:rPr>
          <m:t>γ</m:t>
        </m:r>
      </m:oMath>
      <w:r w:rsidRPr="00F64276">
        <w:rPr>
          <w:rFonts w:eastAsiaTheme="minorEastAsia"/>
        </w:rPr>
        <w:t xml:space="preserve"> on question </w:t>
      </w:r>
      <w:r w:rsidRPr="00F64276">
        <w:rPr>
          <w:rFonts w:eastAsiaTheme="minorEastAsia"/>
          <w:i/>
        </w:rPr>
        <w:t>j</w:t>
      </w:r>
      <w:r w:rsidRPr="00F64276">
        <w:t xml:space="preserve">. </w:t>
      </w:r>
    </w:p>
    <w:p w:rsidR="00745B5C" w:rsidRPr="00F64276" w:rsidRDefault="00745B5C" w:rsidP="00745B5C">
      <w:pPr>
        <w:spacing w:line="360" w:lineRule="auto"/>
        <w:ind w:firstLine="270"/>
        <w:rPr>
          <w:rFonts w:eastAsiaTheme="minorEastAsia"/>
        </w:rPr>
      </w:pPr>
      <w:r w:rsidRPr="00F64276">
        <w:rPr>
          <w:rFonts w:eastAsiaTheme="minorEastAsia"/>
        </w:rPr>
        <w:t xml:space="preserve">We calculate </w:t>
      </w:r>
      <w:r w:rsidRPr="00F64276">
        <w:rPr>
          <w:rFonts w:eastAsiaTheme="minorEastAsia"/>
          <w:i/>
        </w:rPr>
        <w:t>rounding errors</w:t>
      </w:r>
      <w:r w:rsidRPr="00F64276">
        <w:rPr>
          <w:rFonts w:eastAsiaTheme="minorEastAsia"/>
        </w:rPr>
        <w:t xml:space="preserve"> on forecasting questions by measuring proportional changes in Brier Scores when we round individual forecasts into bins of different widths. </w:t>
      </w:r>
      <w:r w:rsidRPr="00F64276">
        <w:t xml:space="preserve">Thus, we define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γjB</m:t>
            </m:r>
          </m:sub>
        </m:sSub>
      </m:oMath>
      <w:r w:rsidRPr="00F64276">
        <w:rPr>
          <w:rFonts w:eastAsiaTheme="minorEastAsia"/>
        </w:rPr>
        <w:t xml:space="preserve"> as a question-level point-estimate of forecasting accuracy among forecasters in group </w:t>
      </w:r>
      <m:oMath>
        <m:r>
          <w:rPr>
            <w:rFonts w:ascii="Cambria Math" w:eastAsiaTheme="minorEastAsia" w:hAnsi="Cambria Math"/>
          </w:rPr>
          <m:t>γ</m:t>
        </m:r>
      </m:oMath>
      <w:r w:rsidRPr="00F64276">
        <w:rPr>
          <w:rFonts w:eastAsiaTheme="minorEastAsia"/>
        </w:rPr>
        <w:t xml:space="preserve"> on question </w:t>
      </w:r>
      <m:oMath>
        <m:r>
          <w:rPr>
            <w:rFonts w:ascii="Cambria Math" w:eastAsiaTheme="minorEastAsia" w:hAnsi="Cambria Math"/>
          </w:rPr>
          <m:t>j</m:t>
        </m:r>
      </m:oMath>
      <w:r w:rsidRPr="00F64276">
        <w:rPr>
          <w:rFonts w:eastAsiaTheme="minorEastAsia"/>
        </w:rPr>
        <w:t xml:space="preserve">, having rounded individual respondents’ forecasts to the midpoints of </w:t>
      </w:r>
      <m:oMath>
        <m:r>
          <w:rPr>
            <w:rFonts w:ascii="Cambria Math" w:eastAsiaTheme="minorEastAsia" w:hAnsi="Cambria Math"/>
          </w:rPr>
          <m:t>B</m:t>
        </m:r>
      </m:oMath>
      <w:r w:rsidRPr="00F64276">
        <w:rPr>
          <w:rFonts w:eastAsiaTheme="minorEastAsia"/>
        </w:rPr>
        <w:t xml:space="preserve"> bins. For example, we estimate the rounding error associated with transforming probabilities into three-step “confidence levels” as </w:t>
      </w:r>
      <m:oMath>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γjB=3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γj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γj</m:t>
            </m:r>
          </m:sub>
        </m:sSub>
      </m:oMath>
      <w:r w:rsidRPr="00F64276">
        <w:rPr>
          <w:rFonts w:eastAsiaTheme="minorEastAsia"/>
        </w:rPr>
        <w:t>. Our findings also hold when we round predictions to the empirical expected value (that is, the frequency-weighted mean) of forecasts falling within each bin.</w:t>
      </w:r>
    </w:p>
    <w:p w:rsidR="00745B5C" w:rsidRDefault="00745B5C" w:rsidP="00745B5C">
      <w:pPr>
        <w:spacing w:line="360" w:lineRule="auto"/>
        <w:jc w:val="both"/>
      </w:pPr>
      <w:r>
        <w:rPr>
          <w:u w:val="single"/>
        </w:rPr>
        <w:br/>
        <w:t>III.  Full results for analysis of returns to precision across time horizons</w:t>
      </w:r>
    </w:p>
    <w:p w:rsidR="00745B5C" w:rsidRDefault="000475EB" w:rsidP="000475EB">
      <w:pPr>
        <w:spacing w:line="360" w:lineRule="auto"/>
      </w:pPr>
      <w:r>
        <w:t>As described in the main text, we divided</w:t>
      </w:r>
      <w:r w:rsidR="00745B5C">
        <w:t xml:space="preserve"> forecasts into the following categories: (a) “Lay-Ups,” comprising forecasts made within two weeks of a question’s closing date and with no more than five percent probability</w:t>
      </w:r>
      <w:r w:rsidR="007377BF">
        <w:t xml:space="preserve"> or no less than ninety-five percent probability</w:t>
      </w:r>
      <w:r w:rsidR="00745B5C">
        <w:t xml:space="preserve">; (b) “Period I” forecasts made up to 36 days prior to a question’s closing date, but excluding Lay-Ups; (c) “Period II” forecasts made anywhere from 37 to 96 days prior to a question’s closing date; and (d) “Period III” forecasts made more than 96 days prior to a question’s closing date. There were 109,240 Lay-Ups in our data set, and 259,696 forecasts in the other three categories, respectively. Table A-1 </w:t>
      </w:r>
      <w:r>
        <w:t>analyzes returns to precision within each of these categories.</w:t>
      </w:r>
      <w:r w:rsidR="00745B5C">
        <w:t xml:space="preserve"> Note that forecasters receive larger rounding penalties for Period II forecasts than for Period I forecasts: this is because we removed “Lay-Ups” from the Period I forecasts whereas Period II forecasts retain substantial numbers of small-probability estimates. </w:t>
      </w:r>
    </w:p>
    <w:p w:rsidR="00745B5C" w:rsidRDefault="00745B5C" w:rsidP="00745B5C">
      <w:pPr>
        <w:spacing w:line="480" w:lineRule="auto"/>
        <w:jc w:val="both"/>
      </w:pPr>
      <w:r>
        <w:rPr>
          <w:i/>
          <w:noProof/>
        </w:rPr>
        <w:lastRenderedPageBreak/>
        <mc:AlternateContent>
          <mc:Choice Requires="wps">
            <w:drawing>
              <wp:inline distT="0" distB="0" distL="0" distR="0" wp14:anchorId="7DD44B7D" wp14:editId="5460F4EB">
                <wp:extent cx="6082665" cy="8366760"/>
                <wp:effectExtent l="0" t="0" r="13335" b="152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8366760"/>
                        </a:xfrm>
                        <a:prstGeom prst="rect">
                          <a:avLst/>
                        </a:prstGeom>
                        <a:solidFill>
                          <a:srgbClr val="FFFFFF"/>
                        </a:solidFill>
                        <a:ln w="9525">
                          <a:solidFill>
                            <a:schemeClr val="bg1">
                              <a:lumMod val="100000"/>
                              <a:lumOff val="0"/>
                            </a:schemeClr>
                          </a:solidFill>
                          <a:miter lim="800000"/>
                          <a:headEnd/>
                          <a:tailEnd/>
                        </a:ln>
                      </wps:spPr>
                      <wps:txbx>
                        <w:txbxContent>
                          <w:p w:rsidR="00745B5C" w:rsidRDefault="00745B5C" w:rsidP="00745B5C">
                            <w:pPr>
                              <w:rPr>
                                <w:b/>
                              </w:rPr>
                            </w:pPr>
                            <w:r>
                              <w:rPr>
                                <w:b/>
                              </w:rPr>
                              <w:t>Table A-1. Returns to precision</w:t>
                            </w:r>
                            <w:r w:rsidR="000475EB">
                              <w:rPr>
                                <w:b/>
                              </w:rPr>
                              <w:t xml:space="preserve"> across time horizons</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080"/>
                              <w:gridCol w:w="1350"/>
                              <w:gridCol w:w="1368"/>
                              <w:gridCol w:w="1368"/>
                              <w:gridCol w:w="1368"/>
                              <w:gridCol w:w="1368"/>
                              <w:gridCol w:w="68"/>
                            </w:tblGrid>
                            <w:tr w:rsidR="00745B5C" w:rsidTr="00A76D10">
                              <w:trPr>
                                <w:trHeight w:val="490"/>
                              </w:trPr>
                              <w:tc>
                                <w:tcPr>
                                  <w:tcW w:w="1368" w:type="dxa"/>
                                  <w:vMerge w:val="restart"/>
                                  <w:tcBorders>
                                    <w:top w:val="single" w:sz="4" w:space="0" w:color="auto"/>
                                  </w:tcBorders>
                                  <w:vAlign w:val="center"/>
                                </w:tcPr>
                                <w:p w:rsidR="00745B5C" w:rsidRDefault="00745B5C" w:rsidP="00A76D10">
                                  <w:pPr>
                                    <w:jc w:val="center"/>
                                    <w:rPr>
                                      <w:i/>
                                    </w:rPr>
                                  </w:pPr>
                                  <w:r>
                                    <w:rPr>
                                      <w:i/>
                                    </w:rPr>
                                    <w:t xml:space="preserve">Reference </w:t>
                                  </w:r>
                                </w:p>
                                <w:p w:rsidR="00745B5C" w:rsidRPr="007D56BF" w:rsidRDefault="00745B5C" w:rsidP="00A76D10">
                                  <w:pPr>
                                    <w:jc w:val="center"/>
                                    <w:rPr>
                                      <w:i/>
                                    </w:rPr>
                                  </w:pPr>
                                  <w:r>
                                    <w:rPr>
                                      <w:i/>
                                    </w:rPr>
                                    <w:t>class</w:t>
                                  </w:r>
                                </w:p>
                              </w:tc>
                              <w:tc>
                                <w:tcPr>
                                  <w:tcW w:w="1080" w:type="dxa"/>
                                  <w:vMerge w:val="restart"/>
                                  <w:tcBorders>
                                    <w:top w:val="single" w:sz="4" w:space="0" w:color="auto"/>
                                  </w:tcBorders>
                                  <w:shd w:val="clear" w:color="auto" w:fill="FFFFFF" w:themeFill="background1"/>
                                  <w:vAlign w:val="center"/>
                                </w:tcPr>
                                <w:p w:rsidR="00745B5C" w:rsidRDefault="00745B5C" w:rsidP="00A76D10">
                                  <w:pPr>
                                    <w:ind w:right="-108"/>
                                    <w:jc w:val="center"/>
                                  </w:pPr>
                                </w:p>
                              </w:tc>
                              <w:tc>
                                <w:tcPr>
                                  <w:tcW w:w="1350" w:type="dxa"/>
                                  <w:vMerge w:val="restart"/>
                                  <w:tcBorders>
                                    <w:top w:val="single" w:sz="4" w:space="0" w:color="auto"/>
                                  </w:tcBorders>
                                  <w:shd w:val="clear" w:color="auto" w:fill="FFFFFF" w:themeFill="background1"/>
                                  <w:vAlign w:val="center"/>
                                </w:tcPr>
                                <w:p w:rsidR="00745B5C" w:rsidRPr="000C3D72" w:rsidRDefault="00745B5C" w:rsidP="00A76D10">
                                  <w:pPr>
                                    <w:jc w:val="center"/>
                                    <w:rPr>
                                      <w:i/>
                                    </w:rPr>
                                  </w:pPr>
                                  <w:r w:rsidRPr="000C3D72">
                                    <w:rPr>
                                      <w:i/>
                                    </w:rPr>
                                    <w:t>Brier Score across all numerical forecasts</w:t>
                                  </w:r>
                                </w:p>
                              </w:tc>
                              <w:tc>
                                <w:tcPr>
                                  <w:tcW w:w="5540" w:type="dxa"/>
                                  <w:gridSpan w:val="5"/>
                                  <w:tcBorders>
                                    <w:top w:val="single" w:sz="4" w:space="0" w:color="auto"/>
                                    <w:left w:val="nil"/>
                                  </w:tcBorders>
                                  <w:shd w:val="clear" w:color="auto" w:fill="FFFFFF" w:themeFill="background1"/>
                                  <w:vAlign w:val="center"/>
                                </w:tcPr>
                                <w:p w:rsidR="00745B5C" w:rsidRPr="00EB3A20" w:rsidRDefault="00745B5C" w:rsidP="00A76D10">
                                  <w:pPr>
                                    <w:jc w:val="center"/>
                                    <w:rPr>
                                      <w:i/>
                                    </w:rPr>
                                  </w:pPr>
                                  <w:r>
                                    <w:rPr>
                                      <w:i/>
                                    </w:rPr>
                                    <w:t>Rounding Errors</w:t>
                                  </w:r>
                                </w:p>
                              </w:tc>
                            </w:tr>
                            <w:tr w:rsidR="00745B5C" w:rsidTr="007B517E">
                              <w:trPr>
                                <w:trHeight w:val="1095"/>
                              </w:trPr>
                              <w:tc>
                                <w:tcPr>
                                  <w:tcW w:w="1368" w:type="dxa"/>
                                  <w:vMerge/>
                                  <w:tcBorders>
                                    <w:bottom w:val="single" w:sz="4" w:space="0" w:color="auto"/>
                                  </w:tcBorders>
                                  <w:vAlign w:val="center"/>
                                </w:tcPr>
                                <w:p w:rsidR="00745B5C" w:rsidRPr="00306B99" w:rsidRDefault="00745B5C" w:rsidP="00A76D10">
                                  <w:pPr>
                                    <w:jc w:val="center"/>
                                  </w:pPr>
                                </w:p>
                              </w:tc>
                              <w:tc>
                                <w:tcPr>
                                  <w:tcW w:w="1080" w:type="dxa"/>
                                  <w:vMerge/>
                                  <w:tcBorders>
                                    <w:bottom w:val="single" w:sz="4" w:space="0" w:color="auto"/>
                                  </w:tcBorders>
                                  <w:shd w:val="clear" w:color="auto" w:fill="FFFFFF" w:themeFill="background1"/>
                                  <w:vAlign w:val="center"/>
                                </w:tcPr>
                                <w:p w:rsidR="00745B5C" w:rsidRDefault="00745B5C" w:rsidP="00A76D10">
                                  <w:pPr>
                                    <w:ind w:right="-108"/>
                                    <w:jc w:val="center"/>
                                  </w:pPr>
                                </w:p>
                              </w:tc>
                              <w:tc>
                                <w:tcPr>
                                  <w:tcW w:w="1350" w:type="dxa"/>
                                  <w:vMerge/>
                                  <w:tcBorders>
                                    <w:bottom w:val="single" w:sz="4" w:space="0" w:color="auto"/>
                                  </w:tcBorders>
                                  <w:shd w:val="clear" w:color="auto" w:fill="FFFFFF" w:themeFill="background1"/>
                                </w:tcPr>
                                <w:p w:rsidR="00745B5C" w:rsidRDefault="00745B5C" w:rsidP="00A76D10">
                                  <w:pPr>
                                    <w:jc w:val="center"/>
                                  </w:pPr>
                                </w:p>
                              </w:tc>
                              <w:tc>
                                <w:tcPr>
                                  <w:tcW w:w="1368" w:type="dxa"/>
                                  <w:tcBorders>
                                    <w:left w:val="nil"/>
                                    <w:bottom w:val="single" w:sz="4" w:space="0" w:color="auto"/>
                                  </w:tcBorders>
                                  <w:shd w:val="clear" w:color="auto" w:fill="FFFFFF" w:themeFill="background1"/>
                                  <w:vAlign w:val="center"/>
                                </w:tcPr>
                                <w:p w:rsidR="00745B5C" w:rsidRDefault="00745B5C" w:rsidP="00A76D10">
                                  <w:pPr>
                                    <w:jc w:val="center"/>
                                  </w:pPr>
                                  <w:r>
                                    <w:t>7 WEPs,</w:t>
                                  </w:r>
                                </w:p>
                                <w:p w:rsidR="00745B5C" w:rsidRPr="00ED613F" w:rsidRDefault="00745B5C" w:rsidP="00A76D10">
                                  <w:pPr>
                                    <w:jc w:val="center"/>
                                    <w:rPr>
                                      <w:vertAlign w:val="subscript"/>
                                    </w:rPr>
                                  </w:pPr>
                                  <w:r>
                                    <w:t>2015 version</w:t>
                                  </w:r>
                                </w:p>
                              </w:tc>
                              <w:tc>
                                <w:tcPr>
                                  <w:tcW w:w="1368" w:type="dxa"/>
                                  <w:tcBorders>
                                    <w:bottom w:val="single" w:sz="4" w:space="0" w:color="auto"/>
                                  </w:tcBorders>
                                  <w:shd w:val="clear" w:color="auto" w:fill="FFFFFF" w:themeFill="background1"/>
                                  <w:vAlign w:val="center"/>
                                </w:tcPr>
                                <w:p w:rsidR="00745B5C" w:rsidRDefault="00745B5C" w:rsidP="00A76D10">
                                  <w:pPr>
                                    <w:jc w:val="center"/>
                                  </w:pPr>
                                  <w:r>
                                    <w:t>7 WEPs,</w:t>
                                  </w:r>
                                </w:p>
                                <w:p w:rsidR="00745B5C" w:rsidRPr="00E02D7A" w:rsidRDefault="00745B5C" w:rsidP="00A76D10">
                                  <w:pPr>
                                    <w:jc w:val="center"/>
                                  </w:pPr>
                                  <w:r>
                                    <w:t>evenly spaced</w:t>
                                  </w:r>
                                </w:p>
                              </w:tc>
                              <w:tc>
                                <w:tcPr>
                                  <w:tcW w:w="1368" w:type="dxa"/>
                                  <w:tcBorders>
                                    <w:bottom w:val="single" w:sz="4" w:space="0" w:color="auto"/>
                                  </w:tcBorders>
                                  <w:vAlign w:val="center"/>
                                </w:tcPr>
                                <w:p w:rsidR="00745B5C" w:rsidRDefault="00745B5C" w:rsidP="00A76D10">
                                  <w:pPr>
                                    <w:jc w:val="center"/>
                                  </w:pPr>
                                  <w:r>
                                    <w:t xml:space="preserve">Confidence levels </w:t>
                                  </w:r>
                                </w:p>
                                <w:p w:rsidR="00745B5C" w:rsidRPr="0038569E" w:rsidRDefault="00745B5C" w:rsidP="00A76D10">
                                  <w:pPr>
                                    <w:jc w:val="center"/>
                                  </w:pPr>
                                  <w:r>
                                    <w:t>(3 bins)</w:t>
                                  </w:r>
                                </w:p>
                              </w:tc>
                              <w:tc>
                                <w:tcPr>
                                  <w:tcW w:w="1436" w:type="dxa"/>
                                  <w:gridSpan w:val="2"/>
                                  <w:tcBorders>
                                    <w:bottom w:val="single" w:sz="4" w:space="0" w:color="auto"/>
                                  </w:tcBorders>
                                  <w:vAlign w:val="center"/>
                                </w:tcPr>
                                <w:p w:rsidR="00745B5C" w:rsidRDefault="00745B5C" w:rsidP="00A76D10">
                                  <w:pPr>
                                    <w:jc w:val="center"/>
                                  </w:pPr>
                                  <w:r>
                                    <w:t xml:space="preserve">Estimative verbs </w:t>
                                  </w:r>
                                </w:p>
                                <w:p w:rsidR="00745B5C" w:rsidRDefault="00745B5C" w:rsidP="00A76D10">
                                  <w:pPr>
                                    <w:jc w:val="center"/>
                                  </w:pPr>
                                  <w:r>
                                    <w:t>(2 bins)</w:t>
                                  </w:r>
                                </w:p>
                              </w:tc>
                            </w:tr>
                            <w:tr w:rsidR="00745B5C" w:rsidTr="007B517E">
                              <w:trPr>
                                <w:gridAfter w:val="1"/>
                                <w:wAfter w:w="68" w:type="dxa"/>
                                <w:trHeight w:val="392"/>
                              </w:trPr>
                              <w:tc>
                                <w:tcPr>
                                  <w:tcW w:w="9270" w:type="dxa"/>
                                  <w:gridSpan w:val="7"/>
                                  <w:shd w:val="clear" w:color="auto" w:fill="auto"/>
                                  <w:vAlign w:val="center"/>
                                </w:tcPr>
                                <w:p w:rsidR="00745B5C" w:rsidRPr="003772D5" w:rsidRDefault="007377BF" w:rsidP="00A76D10">
                                  <w:pPr>
                                    <w:tabs>
                                      <w:tab w:val="decimal" w:pos="471"/>
                                    </w:tabs>
                                    <w:rPr>
                                      <w:i/>
                                      <w:sz w:val="12"/>
                                      <w:szCs w:val="12"/>
                                    </w:rPr>
                                  </w:pPr>
                                  <w:r>
                                    <w:rPr>
                                      <w:i/>
                                    </w:rPr>
                                    <w:t>Lay-Ups</w:t>
                                  </w:r>
                                </w:p>
                              </w:tc>
                            </w:tr>
                            <w:tr w:rsidR="00745B5C" w:rsidTr="00A76D10">
                              <w:trPr>
                                <w:gridAfter w:val="1"/>
                                <w:wAfter w:w="68" w:type="dxa"/>
                                <w:trHeight w:val="864"/>
                              </w:trPr>
                              <w:tc>
                                <w:tcPr>
                                  <w:tcW w:w="1368" w:type="dxa"/>
                                  <w:shd w:val="clear" w:color="auto" w:fill="auto"/>
                                  <w:vAlign w:val="center"/>
                                </w:tcPr>
                                <w:p w:rsidR="00745B5C" w:rsidRPr="00C85E12" w:rsidRDefault="00745B5C" w:rsidP="00A76D10">
                                  <w:pPr>
                                    <w:ind w:left="90"/>
                                  </w:pPr>
                                  <w:r w:rsidRPr="00D13862">
                                    <w:t>All forecasters</w:t>
                                  </w:r>
                                </w:p>
                              </w:tc>
                              <w:tc>
                                <w:tcPr>
                                  <w:tcW w:w="1080" w:type="dxa"/>
                                  <w:shd w:val="clear" w:color="auto" w:fill="auto"/>
                                  <w:vAlign w:val="center"/>
                                </w:tcPr>
                                <w:p w:rsidR="00745B5C" w:rsidRPr="00AD547F" w:rsidRDefault="00745B5C" w:rsidP="00A76D10">
                                  <w:pPr>
                                    <w:ind w:right="-108"/>
                                    <w:rPr>
                                      <w:i/>
                                    </w:rPr>
                                  </w:pPr>
                                  <w:r w:rsidRPr="00AD547F">
                                    <w:rPr>
                                      <w:i/>
                                    </w:rPr>
                                    <w:t>Mean:</w:t>
                                  </w:r>
                                </w:p>
                                <w:p w:rsidR="00745B5C" w:rsidRPr="00AD547F" w:rsidRDefault="00745B5C" w:rsidP="00A76D10">
                                  <w:pPr>
                                    <w:ind w:right="-108"/>
                                    <w:rPr>
                                      <w:i/>
                                    </w:rPr>
                                  </w:pPr>
                                  <w:r w:rsidRPr="00AD547F">
                                    <w:rPr>
                                      <w:i/>
                                    </w:rPr>
                                    <w:t>Median:</w:t>
                                  </w:r>
                                </w:p>
                              </w:tc>
                              <w:tc>
                                <w:tcPr>
                                  <w:tcW w:w="1350" w:type="dxa"/>
                                  <w:shd w:val="clear" w:color="auto" w:fill="auto"/>
                                  <w:vAlign w:val="center"/>
                                </w:tcPr>
                                <w:p w:rsidR="00745B5C" w:rsidRDefault="00745B5C" w:rsidP="00A76D10">
                                  <w:pPr>
                                    <w:tabs>
                                      <w:tab w:val="decimal" w:pos="342"/>
                                    </w:tabs>
                                    <w:jc w:val="center"/>
                                  </w:pPr>
                                  <w:r>
                                    <w:t>0.065</w:t>
                                  </w:r>
                                </w:p>
                                <w:p w:rsidR="00745B5C" w:rsidRDefault="00745B5C" w:rsidP="00A76D10">
                                  <w:pPr>
                                    <w:tabs>
                                      <w:tab w:val="decimal" w:pos="342"/>
                                    </w:tabs>
                                    <w:jc w:val="center"/>
                                  </w:pPr>
                                  <w:r>
                                    <w:t>0.009</w:t>
                                  </w:r>
                                </w:p>
                              </w:tc>
                              <w:tc>
                                <w:tcPr>
                                  <w:tcW w:w="1368" w:type="dxa"/>
                                  <w:tcBorders>
                                    <w:left w:val="nil"/>
                                  </w:tcBorders>
                                  <w:shd w:val="clear" w:color="auto" w:fill="auto"/>
                                  <w:vAlign w:val="center"/>
                                </w:tcPr>
                                <w:p w:rsidR="00745B5C" w:rsidRPr="00AD547F" w:rsidRDefault="00745B5C" w:rsidP="00A76D10">
                                  <w:pPr>
                                    <w:tabs>
                                      <w:tab w:val="decimal" w:pos="471"/>
                                    </w:tabs>
                                    <w:rPr>
                                      <w:vertAlign w:val="superscript"/>
                                    </w:rPr>
                                  </w:pPr>
                                  <w:r>
                                    <w:t>42.4%</w:t>
                                  </w:r>
                                  <w:r>
                                    <w:rPr>
                                      <w:vertAlign w:val="superscript"/>
                                    </w:rPr>
                                    <w:t>***</w:t>
                                  </w:r>
                                </w:p>
                                <w:p w:rsidR="00745B5C" w:rsidRPr="00AD547F" w:rsidRDefault="00745B5C" w:rsidP="00A76D10">
                                  <w:pPr>
                                    <w:tabs>
                                      <w:tab w:val="decimal" w:pos="471"/>
                                    </w:tabs>
                                    <w:rPr>
                                      <w:vertAlign w:val="superscript"/>
                                    </w:rPr>
                                  </w:pPr>
                                  <w:r>
                                    <w:t>2.3%</w:t>
                                  </w:r>
                                  <w:r>
                                    <w:rPr>
                                      <w:vertAlign w:val="superscript"/>
                                    </w:rPr>
                                    <w:t>***</w:t>
                                  </w:r>
                                </w:p>
                              </w:tc>
                              <w:tc>
                                <w:tcPr>
                                  <w:tcW w:w="1368" w:type="dxa"/>
                                  <w:shd w:val="clear" w:color="auto" w:fill="auto"/>
                                  <w:vAlign w:val="center"/>
                                </w:tcPr>
                                <w:p w:rsidR="00745B5C" w:rsidRPr="00EB5CBF" w:rsidRDefault="00745B5C" w:rsidP="00A76D10">
                                  <w:pPr>
                                    <w:tabs>
                                      <w:tab w:val="decimal" w:pos="471"/>
                                    </w:tabs>
                                    <w:rPr>
                                      <w:vertAlign w:val="superscript"/>
                                    </w:rPr>
                                  </w:pPr>
                                  <w:r>
                                    <w:t>436.4%</w:t>
                                  </w:r>
                                  <w:r>
                                    <w:rPr>
                                      <w:vertAlign w:val="superscript"/>
                                    </w:rPr>
                                    <w:t>*</w:t>
                                  </w:r>
                                </w:p>
                                <w:p w:rsidR="00745B5C" w:rsidRPr="00B94D34" w:rsidRDefault="00745B5C" w:rsidP="00A76D10">
                                  <w:pPr>
                                    <w:tabs>
                                      <w:tab w:val="decimal" w:pos="471"/>
                                    </w:tabs>
                                    <w:rPr>
                                      <w:vertAlign w:val="superscript"/>
                                    </w:rPr>
                                  </w:pPr>
                                  <w:r w:rsidRPr="00696D6B">
                                    <w:t>40.4</w:t>
                                  </w:r>
                                  <w:r>
                                    <w:rPr>
                                      <w:vertAlign w:val="superscript"/>
                                    </w:rPr>
                                    <w:t>***</w:t>
                                  </w:r>
                                </w:p>
                              </w:tc>
                              <w:tc>
                                <w:tcPr>
                                  <w:tcW w:w="1368" w:type="dxa"/>
                                  <w:shd w:val="clear" w:color="auto" w:fill="auto"/>
                                  <w:vAlign w:val="center"/>
                                </w:tcPr>
                                <w:p w:rsidR="00745B5C" w:rsidRDefault="00745B5C" w:rsidP="00A76D10">
                                  <w:pPr>
                                    <w:tabs>
                                      <w:tab w:val="decimal" w:pos="471"/>
                                    </w:tabs>
                                    <w:rPr>
                                      <w:vertAlign w:val="superscript"/>
                                    </w:rPr>
                                  </w:pPr>
                                  <w:r>
                                    <w:t>2578.1%</w:t>
                                  </w:r>
                                  <w:r>
                                    <w:rPr>
                                      <w:vertAlign w:val="superscript"/>
                                    </w:rPr>
                                    <w:t>**</w:t>
                                  </w:r>
                                </w:p>
                                <w:p w:rsidR="00745B5C" w:rsidRPr="00B94D34" w:rsidRDefault="00745B5C" w:rsidP="00A76D10">
                                  <w:pPr>
                                    <w:tabs>
                                      <w:tab w:val="decimal" w:pos="471"/>
                                    </w:tabs>
                                    <w:rPr>
                                      <w:vertAlign w:val="superscript"/>
                                    </w:rPr>
                                  </w:pPr>
                                  <w:r>
                                    <w:t>267.9%</w:t>
                                  </w:r>
                                  <w:r>
                                    <w:rPr>
                                      <w:vertAlign w:val="superscript"/>
                                    </w:rPr>
                                    <w:t>***</w:t>
                                  </w:r>
                                </w:p>
                              </w:tc>
                              <w:tc>
                                <w:tcPr>
                                  <w:tcW w:w="1368" w:type="dxa"/>
                                  <w:shd w:val="clear" w:color="auto" w:fill="auto"/>
                                  <w:vAlign w:val="center"/>
                                </w:tcPr>
                                <w:p w:rsidR="00745B5C" w:rsidRDefault="00745B5C" w:rsidP="00A76D10">
                                  <w:pPr>
                                    <w:tabs>
                                      <w:tab w:val="decimal" w:pos="471"/>
                                    </w:tabs>
                                    <w:rPr>
                                      <w:vertAlign w:val="superscript"/>
                                    </w:rPr>
                                  </w:pPr>
                                  <w:r>
                                    <w:t>5865.1%</w:t>
                                  </w:r>
                                  <w:r>
                                    <w:rPr>
                                      <w:vertAlign w:val="superscript"/>
                                    </w:rPr>
                                    <w:t>***</w:t>
                                  </w:r>
                                </w:p>
                                <w:p w:rsidR="00745B5C" w:rsidRPr="00B94D34" w:rsidRDefault="00745B5C" w:rsidP="00A76D10">
                                  <w:pPr>
                                    <w:tabs>
                                      <w:tab w:val="decimal" w:pos="471"/>
                                    </w:tabs>
                                    <w:rPr>
                                      <w:vertAlign w:val="superscript"/>
                                    </w:rPr>
                                  </w:pPr>
                                  <w:r>
                                    <w:t>628.3%</w:t>
                                  </w:r>
                                  <w:r>
                                    <w:rPr>
                                      <w:vertAlign w:val="superscript"/>
                                    </w:rPr>
                                    <w:t>***</w:t>
                                  </w:r>
                                </w:p>
                              </w:tc>
                            </w:tr>
                            <w:tr w:rsidR="00745B5C" w:rsidTr="00A76D10">
                              <w:trPr>
                                <w:gridAfter w:val="1"/>
                                <w:wAfter w:w="68" w:type="dxa"/>
                                <w:trHeight w:val="864"/>
                              </w:trPr>
                              <w:tc>
                                <w:tcPr>
                                  <w:tcW w:w="1368" w:type="dxa"/>
                                  <w:shd w:val="clear" w:color="auto" w:fill="auto"/>
                                  <w:vAlign w:val="center"/>
                                </w:tcPr>
                                <w:p w:rsidR="00745B5C" w:rsidRPr="00A32E8E" w:rsidRDefault="00745B5C" w:rsidP="00A76D10">
                                  <w:pPr>
                                    <w:ind w:left="90"/>
                                  </w:pPr>
                                  <w:r>
                                    <w:t>Super-forecasters</w:t>
                                  </w:r>
                                </w:p>
                              </w:tc>
                              <w:tc>
                                <w:tcPr>
                                  <w:tcW w:w="1080" w:type="dxa"/>
                                  <w:shd w:val="clear" w:color="auto" w:fill="auto"/>
                                  <w:vAlign w:val="center"/>
                                </w:tcPr>
                                <w:p w:rsidR="00745B5C" w:rsidRPr="00AD547F" w:rsidRDefault="00745B5C" w:rsidP="00A76D10">
                                  <w:pPr>
                                    <w:ind w:right="-108"/>
                                    <w:rPr>
                                      <w:i/>
                                    </w:rPr>
                                  </w:pPr>
                                  <w:r w:rsidRPr="00AD547F">
                                    <w:rPr>
                                      <w:i/>
                                    </w:rPr>
                                    <w:t>Mean:</w:t>
                                  </w:r>
                                </w:p>
                                <w:p w:rsidR="00745B5C" w:rsidRPr="00AD547F" w:rsidRDefault="00745B5C" w:rsidP="00A76D10">
                                  <w:pPr>
                                    <w:ind w:right="-108"/>
                                  </w:pPr>
                                  <w:r w:rsidRPr="00AD547F">
                                    <w:rPr>
                                      <w:i/>
                                    </w:rPr>
                                    <w:t>Median:</w:t>
                                  </w:r>
                                </w:p>
                              </w:tc>
                              <w:tc>
                                <w:tcPr>
                                  <w:tcW w:w="1350" w:type="dxa"/>
                                  <w:shd w:val="clear" w:color="auto" w:fill="auto"/>
                                  <w:vAlign w:val="center"/>
                                </w:tcPr>
                                <w:p w:rsidR="00745B5C" w:rsidRDefault="00745B5C" w:rsidP="00A76D10">
                                  <w:pPr>
                                    <w:tabs>
                                      <w:tab w:val="decimal" w:pos="342"/>
                                    </w:tabs>
                                    <w:jc w:val="center"/>
                                  </w:pPr>
                                  <w:r>
                                    <w:t>0.046</w:t>
                                  </w:r>
                                  <w:r>
                                    <w:rPr>
                                      <w:vertAlign w:val="superscript"/>
                                    </w:rPr>
                                    <w:t>†</w:t>
                                  </w:r>
                                </w:p>
                                <w:p w:rsidR="00745B5C" w:rsidRPr="00696D6B" w:rsidRDefault="00745B5C" w:rsidP="00A76D10">
                                  <w:pPr>
                                    <w:tabs>
                                      <w:tab w:val="decimal" w:pos="342"/>
                                    </w:tabs>
                                    <w:jc w:val="center"/>
                                    <w:rPr>
                                      <w:vertAlign w:val="superscript"/>
                                    </w:rPr>
                                  </w:pPr>
                                  <w:r>
                                    <w:t>2.4e</w:t>
                                  </w:r>
                                  <w:r>
                                    <w:rPr>
                                      <w:vertAlign w:val="superscript"/>
                                    </w:rPr>
                                    <w:t>-4</w:t>
                                  </w:r>
                                </w:p>
                              </w:tc>
                              <w:tc>
                                <w:tcPr>
                                  <w:tcW w:w="1368" w:type="dxa"/>
                                  <w:tcBorders>
                                    <w:left w:val="nil"/>
                                  </w:tcBorders>
                                  <w:shd w:val="clear" w:color="auto" w:fill="auto"/>
                                  <w:vAlign w:val="center"/>
                                </w:tcPr>
                                <w:p w:rsidR="00745B5C" w:rsidRPr="00507541" w:rsidRDefault="00745B5C" w:rsidP="00A76D10">
                                  <w:pPr>
                                    <w:tabs>
                                      <w:tab w:val="decimal" w:pos="471"/>
                                    </w:tabs>
                                  </w:pPr>
                                  <w:r w:rsidRPr="00507541">
                                    <w:t>869.4%</w:t>
                                  </w:r>
                                </w:p>
                                <w:p w:rsidR="00745B5C" w:rsidRPr="00AD547F" w:rsidRDefault="00745B5C" w:rsidP="00A76D10">
                                  <w:pPr>
                                    <w:tabs>
                                      <w:tab w:val="decimal" w:pos="471"/>
                                    </w:tabs>
                                    <w:rPr>
                                      <w:vertAlign w:val="superscript"/>
                                    </w:rPr>
                                  </w:pPr>
                                  <w:r>
                                    <w:t>278.9</w:t>
                                  </w:r>
                                  <w:r>
                                    <w:rPr>
                                      <w:vertAlign w:val="superscript"/>
                                    </w:rPr>
                                    <w:t>***</w:t>
                                  </w:r>
                                </w:p>
                              </w:tc>
                              <w:tc>
                                <w:tcPr>
                                  <w:tcW w:w="1368" w:type="dxa"/>
                                  <w:shd w:val="clear" w:color="auto" w:fill="auto"/>
                                  <w:vAlign w:val="center"/>
                                </w:tcPr>
                                <w:p w:rsidR="00745B5C" w:rsidRPr="00507541" w:rsidRDefault="00745B5C" w:rsidP="00A76D10">
                                  <w:pPr>
                                    <w:tabs>
                                      <w:tab w:val="decimal" w:pos="471"/>
                                    </w:tabs>
                                  </w:pPr>
                                  <w:r>
                                    <w:t>5334.5%</w:t>
                                  </w:r>
                                </w:p>
                                <w:p w:rsidR="00745B5C" w:rsidRPr="00B94D34" w:rsidRDefault="00745B5C" w:rsidP="00A76D10">
                                  <w:pPr>
                                    <w:tabs>
                                      <w:tab w:val="decimal" w:pos="471"/>
                                    </w:tabs>
                                    <w:rPr>
                                      <w:vertAlign w:val="superscript"/>
                                    </w:rPr>
                                  </w:pPr>
                                  <w:r>
                                    <w:t>2047.9%</w:t>
                                  </w:r>
                                  <w:r>
                                    <w:rPr>
                                      <w:vertAlign w:val="superscript"/>
                                    </w:rPr>
                                    <w:t>***</w:t>
                                  </w:r>
                                </w:p>
                              </w:tc>
                              <w:tc>
                                <w:tcPr>
                                  <w:tcW w:w="1368" w:type="dxa"/>
                                  <w:shd w:val="clear" w:color="auto" w:fill="auto"/>
                                  <w:vAlign w:val="center"/>
                                </w:tcPr>
                                <w:p w:rsidR="00745B5C" w:rsidRDefault="00745B5C" w:rsidP="00A76D10">
                                  <w:pPr>
                                    <w:tabs>
                                      <w:tab w:val="decimal" w:pos="471"/>
                                    </w:tabs>
                                    <w:rPr>
                                      <w:vertAlign w:val="superscript"/>
                                    </w:rPr>
                                  </w:pPr>
                                  <w:r w:rsidRPr="00507541">
                                    <w:t>2.9e</w:t>
                                  </w:r>
                                  <w:r>
                                    <w:rPr>
                                      <w:vertAlign w:val="superscript"/>
                                    </w:rPr>
                                    <w:t>4</w:t>
                                  </w:r>
                                  <w:r w:rsidRPr="00507541">
                                    <w:t>%</w:t>
                                  </w:r>
                                  <w:r>
                                    <w:rPr>
                                      <w:vertAlign w:val="superscript"/>
                                    </w:rPr>
                                    <w:t>***</w:t>
                                  </w:r>
                                </w:p>
                                <w:p w:rsidR="00745B5C" w:rsidRPr="00B94D34" w:rsidRDefault="00745B5C" w:rsidP="00A76D10">
                                  <w:pPr>
                                    <w:tabs>
                                      <w:tab w:val="decimal" w:pos="471"/>
                                    </w:tabs>
                                    <w:rPr>
                                      <w:vertAlign w:val="superscript"/>
                                    </w:rPr>
                                  </w:pPr>
                                  <w:r>
                                    <w:t>1.2e</w:t>
                                  </w:r>
                                  <w:r>
                                    <w:rPr>
                                      <w:vertAlign w:val="superscript"/>
                                    </w:rPr>
                                    <w:t>4</w:t>
                                  </w:r>
                                  <w:r>
                                    <w:t>%</w:t>
                                  </w:r>
                                  <w:r>
                                    <w:rPr>
                                      <w:vertAlign w:val="superscript"/>
                                    </w:rPr>
                                    <w:t>***</w:t>
                                  </w:r>
                                </w:p>
                              </w:tc>
                              <w:tc>
                                <w:tcPr>
                                  <w:tcW w:w="1368" w:type="dxa"/>
                                  <w:shd w:val="clear" w:color="auto" w:fill="auto"/>
                                  <w:vAlign w:val="center"/>
                                </w:tcPr>
                                <w:p w:rsidR="00745B5C" w:rsidRDefault="00745B5C" w:rsidP="00A76D10">
                                  <w:pPr>
                                    <w:tabs>
                                      <w:tab w:val="decimal" w:pos="471"/>
                                    </w:tabs>
                                    <w:rPr>
                                      <w:vertAlign w:val="superscript"/>
                                    </w:rPr>
                                  </w:pPr>
                                  <w:r>
                                    <w:t>6.6</w:t>
                                  </w:r>
                                  <w:r w:rsidRPr="00507541">
                                    <w:t>e</w:t>
                                  </w:r>
                                  <w:r>
                                    <w:rPr>
                                      <w:vertAlign w:val="superscript"/>
                                    </w:rPr>
                                    <w:t>4</w:t>
                                  </w:r>
                                  <w:r>
                                    <w:t>%</w:t>
                                  </w:r>
                                  <w:r>
                                    <w:rPr>
                                      <w:vertAlign w:val="superscript"/>
                                    </w:rPr>
                                    <w:t>***</w:t>
                                  </w:r>
                                </w:p>
                                <w:p w:rsidR="00745B5C" w:rsidRPr="00B94D34" w:rsidRDefault="00745B5C" w:rsidP="00A76D10">
                                  <w:pPr>
                                    <w:tabs>
                                      <w:tab w:val="decimal" w:pos="471"/>
                                    </w:tabs>
                                    <w:rPr>
                                      <w:vertAlign w:val="superscript"/>
                                    </w:rPr>
                                  </w:pPr>
                                  <w:r>
                                    <w:t>2.6e</w:t>
                                  </w:r>
                                  <w:r>
                                    <w:rPr>
                                      <w:vertAlign w:val="superscript"/>
                                    </w:rPr>
                                    <w:t>4</w:t>
                                  </w:r>
                                  <w:r>
                                    <w:t>%</w:t>
                                  </w:r>
                                  <w:r>
                                    <w:rPr>
                                      <w:vertAlign w:val="superscript"/>
                                    </w:rPr>
                                    <w:t>***</w:t>
                                  </w:r>
                                </w:p>
                              </w:tc>
                            </w:tr>
                            <w:tr w:rsidR="00745B5C" w:rsidTr="007B517E">
                              <w:trPr>
                                <w:gridAfter w:val="1"/>
                                <w:wAfter w:w="68" w:type="dxa"/>
                                <w:trHeight w:val="618"/>
                              </w:trPr>
                              <w:tc>
                                <w:tcPr>
                                  <w:tcW w:w="9270" w:type="dxa"/>
                                  <w:gridSpan w:val="7"/>
                                  <w:vAlign w:val="center"/>
                                </w:tcPr>
                                <w:p w:rsidR="00745B5C" w:rsidRPr="003772D5" w:rsidRDefault="00745B5C" w:rsidP="00A76D10">
                                  <w:pPr>
                                    <w:tabs>
                                      <w:tab w:val="left" w:pos="1139"/>
                                    </w:tabs>
                                    <w:ind w:right="-108"/>
                                    <w:rPr>
                                      <w:i/>
                                      <w:sz w:val="12"/>
                                      <w:szCs w:val="12"/>
                                    </w:rPr>
                                  </w:pPr>
                                  <w:r>
                                    <w:rPr>
                                      <w:i/>
                                    </w:rPr>
                                    <w:t>Period I forecasts: forecasts registered up to 36 days prior to question closing</w:t>
                                  </w:r>
                                </w:p>
                              </w:tc>
                            </w:tr>
                            <w:tr w:rsidR="00745B5C" w:rsidTr="00A76D10">
                              <w:trPr>
                                <w:gridAfter w:val="1"/>
                                <w:wAfter w:w="68" w:type="dxa"/>
                                <w:trHeight w:val="864"/>
                              </w:trPr>
                              <w:tc>
                                <w:tcPr>
                                  <w:tcW w:w="1368" w:type="dxa"/>
                                  <w:vAlign w:val="center"/>
                                </w:tcPr>
                                <w:p w:rsidR="00745B5C" w:rsidRPr="00C85E12" w:rsidRDefault="00745B5C" w:rsidP="00A76D10">
                                  <w:pPr>
                                    <w:ind w:left="90"/>
                                  </w:pPr>
                                  <w:r w:rsidRPr="00D13862">
                                    <w:t>All 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rPr>
                                      <w:i/>
                                    </w:rPr>
                                  </w:pPr>
                                  <w:r w:rsidRPr="00AD547F">
                                    <w:rPr>
                                      <w:i/>
                                    </w:rPr>
                                    <w:t>Median:</w:t>
                                  </w:r>
                                </w:p>
                              </w:tc>
                              <w:tc>
                                <w:tcPr>
                                  <w:tcW w:w="1350" w:type="dxa"/>
                                  <w:shd w:val="clear" w:color="auto" w:fill="FFFFFF" w:themeFill="background1"/>
                                  <w:vAlign w:val="center"/>
                                </w:tcPr>
                                <w:p w:rsidR="00745B5C" w:rsidRDefault="00745B5C" w:rsidP="00A76D10">
                                  <w:pPr>
                                    <w:tabs>
                                      <w:tab w:val="decimal" w:pos="342"/>
                                    </w:tabs>
                                    <w:jc w:val="center"/>
                                  </w:pPr>
                                  <w:r>
                                    <w:t>0.114</w:t>
                                  </w:r>
                                </w:p>
                                <w:p w:rsidR="00745B5C" w:rsidRDefault="00745B5C" w:rsidP="00A76D10">
                                  <w:pPr>
                                    <w:tabs>
                                      <w:tab w:val="decimal" w:pos="342"/>
                                    </w:tabs>
                                    <w:jc w:val="center"/>
                                  </w:pPr>
                                  <w:r>
                                    <w:t>0.064</w:t>
                                  </w:r>
                                </w:p>
                              </w:tc>
                              <w:tc>
                                <w:tcPr>
                                  <w:tcW w:w="1368" w:type="dxa"/>
                                  <w:tcBorders>
                                    <w:left w:val="nil"/>
                                  </w:tcBorders>
                                  <w:shd w:val="clear" w:color="auto" w:fill="FFFFFF" w:themeFill="background1"/>
                                  <w:vAlign w:val="center"/>
                                </w:tcPr>
                                <w:p w:rsidR="00745B5C" w:rsidRDefault="00745B5C" w:rsidP="00A76D10">
                                  <w:pPr>
                                    <w:tabs>
                                      <w:tab w:val="decimal" w:pos="471"/>
                                    </w:tabs>
                                  </w:pPr>
                                  <w:r>
                                    <w:t>1.6%</w:t>
                                  </w:r>
                                  <w:r>
                                    <w:rPr>
                                      <w:vertAlign w:val="superscript"/>
                                    </w:rPr>
                                    <w:t>***</w:t>
                                  </w:r>
                                </w:p>
                                <w:p w:rsidR="00745B5C" w:rsidRPr="00AD547F" w:rsidRDefault="00745B5C" w:rsidP="00A76D10">
                                  <w:pPr>
                                    <w:tabs>
                                      <w:tab w:val="decimal" w:pos="471"/>
                                    </w:tabs>
                                    <w:rPr>
                                      <w:vertAlign w:val="superscript"/>
                                    </w:rPr>
                                  </w:pPr>
                                  <w:r>
                                    <w:t>1.2%</w:t>
                                  </w:r>
                                  <w:r>
                                    <w:rPr>
                                      <w:vertAlign w:val="superscript"/>
                                    </w:rPr>
                                    <w:t>***</w:t>
                                  </w:r>
                                </w:p>
                              </w:tc>
                              <w:tc>
                                <w:tcPr>
                                  <w:tcW w:w="1368" w:type="dxa"/>
                                  <w:shd w:val="clear" w:color="auto" w:fill="FFFFFF" w:themeFill="background1"/>
                                  <w:vAlign w:val="center"/>
                                </w:tcPr>
                                <w:p w:rsidR="00745B5C" w:rsidRPr="008F5162" w:rsidRDefault="00745B5C" w:rsidP="00A76D10">
                                  <w:pPr>
                                    <w:tabs>
                                      <w:tab w:val="decimal" w:pos="471"/>
                                    </w:tabs>
                                    <w:rPr>
                                      <w:vertAlign w:val="superscript"/>
                                    </w:rPr>
                                  </w:pPr>
                                  <w:r>
                                    <w:t>8.1%</w:t>
                                  </w:r>
                                  <w:r>
                                    <w:rPr>
                                      <w:vertAlign w:val="superscript"/>
                                    </w:rPr>
                                    <w:t>***</w:t>
                                  </w:r>
                                </w:p>
                                <w:p w:rsidR="00745B5C" w:rsidRPr="0002340F" w:rsidRDefault="00745B5C" w:rsidP="00A76D10">
                                  <w:pPr>
                                    <w:tabs>
                                      <w:tab w:val="decimal" w:pos="471"/>
                                    </w:tabs>
                                    <w:rPr>
                                      <w:vertAlign w:val="superscript"/>
                                    </w:rPr>
                                  </w:pPr>
                                  <w:r>
                                    <w:t>4.3%</w:t>
                                  </w:r>
                                  <w:r>
                                    <w:rPr>
                                      <w:vertAlign w:val="superscript"/>
                                    </w:rPr>
                                    <w:t>*</w:t>
                                  </w:r>
                                </w:p>
                              </w:tc>
                              <w:tc>
                                <w:tcPr>
                                  <w:tcW w:w="1368" w:type="dxa"/>
                                  <w:vAlign w:val="center"/>
                                </w:tcPr>
                                <w:p w:rsidR="00745B5C" w:rsidRDefault="00745B5C" w:rsidP="00A76D10">
                                  <w:pPr>
                                    <w:tabs>
                                      <w:tab w:val="decimal" w:pos="471"/>
                                    </w:tabs>
                                    <w:rPr>
                                      <w:vertAlign w:val="superscript"/>
                                    </w:rPr>
                                  </w:pPr>
                                  <w:r>
                                    <w:t>45.7%</w:t>
                                  </w:r>
                                  <w:r>
                                    <w:rPr>
                                      <w:vertAlign w:val="superscript"/>
                                    </w:rPr>
                                    <w:t>***</w:t>
                                  </w:r>
                                </w:p>
                                <w:p w:rsidR="00745B5C" w:rsidRPr="00C11C85" w:rsidRDefault="00745B5C" w:rsidP="00A76D10">
                                  <w:pPr>
                                    <w:tabs>
                                      <w:tab w:val="decimal" w:pos="471"/>
                                    </w:tabs>
                                  </w:pPr>
                                  <w:r>
                                    <w:t>15.8%</w:t>
                                  </w:r>
                                  <w:r>
                                    <w:rPr>
                                      <w:vertAlign w:val="superscript"/>
                                    </w:rPr>
                                    <w:t>***</w:t>
                                  </w:r>
                                </w:p>
                              </w:tc>
                              <w:tc>
                                <w:tcPr>
                                  <w:tcW w:w="1368" w:type="dxa"/>
                                  <w:vAlign w:val="center"/>
                                </w:tcPr>
                                <w:p w:rsidR="00745B5C" w:rsidRDefault="00745B5C" w:rsidP="00A76D10">
                                  <w:pPr>
                                    <w:tabs>
                                      <w:tab w:val="decimal" w:pos="471"/>
                                    </w:tabs>
                                    <w:rPr>
                                      <w:vertAlign w:val="superscript"/>
                                    </w:rPr>
                                  </w:pPr>
                                  <w:r>
                                    <w:t>118.0%</w:t>
                                  </w:r>
                                  <w:r>
                                    <w:rPr>
                                      <w:vertAlign w:val="superscript"/>
                                    </w:rPr>
                                    <w:t>***</w:t>
                                  </w:r>
                                </w:p>
                                <w:p w:rsidR="00745B5C" w:rsidRPr="00F53DD2" w:rsidRDefault="00745B5C" w:rsidP="00A76D10">
                                  <w:pPr>
                                    <w:tabs>
                                      <w:tab w:val="decimal" w:pos="471"/>
                                    </w:tabs>
                                  </w:pPr>
                                  <w:r>
                                    <w:t>46.9%</w:t>
                                  </w:r>
                                  <w:r>
                                    <w:rPr>
                                      <w:vertAlign w:val="superscript"/>
                                    </w:rPr>
                                    <w:t>***</w:t>
                                  </w:r>
                                </w:p>
                              </w:tc>
                            </w:tr>
                            <w:tr w:rsidR="00745B5C" w:rsidTr="00A76D10">
                              <w:trPr>
                                <w:gridAfter w:val="1"/>
                                <w:wAfter w:w="68" w:type="dxa"/>
                                <w:trHeight w:val="864"/>
                              </w:trPr>
                              <w:tc>
                                <w:tcPr>
                                  <w:tcW w:w="1368" w:type="dxa"/>
                                  <w:vAlign w:val="center"/>
                                </w:tcPr>
                                <w:p w:rsidR="00745B5C" w:rsidRPr="00A32E8E" w:rsidRDefault="00745B5C" w:rsidP="00A76D10">
                                  <w:pPr>
                                    <w:ind w:left="90"/>
                                  </w:pPr>
                                  <w:r>
                                    <w:t>Super-forecasters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pPr>
                                  <w:r w:rsidRPr="00AD547F">
                                    <w:rPr>
                                      <w:i/>
                                    </w:rPr>
                                    <w:t>Median:</w:t>
                                  </w:r>
                                </w:p>
                              </w:tc>
                              <w:tc>
                                <w:tcPr>
                                  <w:tcW w:w="1350" w:type="dxa"/>
                                  <w:shd w:val="clear" w:color="auto" w:fill="FFFFFF" w:themeFill="background1"/>
                                  <w:vAlign w:val="center"/>
                                </w:tcPr>
                                <w:p w:rsidR="00745B5C" w:rsidRPr="00696D6B" w:rsidRDefault="00745B5C" w:rsidP="00A76D10">
                                  <w:pPr>
                                    <w:tabs>
                                      <w:tab w:val="decimal" w:pos="342"/>
                                    </w:tabs>
                                    <w:jc w:val="center"/>
                                    <w:rPr>
                                      <w:vertAlign w:val="superscript"/>
                                    </w:rPr>
                                  </w:pPr>
                                  <w:r>
                                    <w:t>0.073</w:t>
                                  </w:r>
                                  <w:r>
                                    <w:rPr>
                                      <w:vertAlign w:val="superscript"/>
                                    </w:rPr>
                                    <w:t>†</w:t>
                                  </w:r>
                                </w:p>
                                <w:p w:rsidR="00745B5C" w:rsidRDefault="00745B5C" w:rsidP="00A76D10">
                                  <w:pPr>
                                    <w:tabs>
                                      <w:tab w:val="decimal" w:pos="342"/>
                                    </w:tabs>
                                    <w:jc w:val="center"/>
                                  </w:pPr>
                                  <w:r>
                                    <w:t>0.006</w:t>
                                  </w:r>
                                </w:p>
                              </w:tc>
                              <w:tc>
                                <w:tcPr>
                                  <w:tcW w:w="1368" w:type="dxa"/>
                                  <w:tcBorders>
                                    <w:left w:val="nil"/>
                                  </w:tcBorders>
                                  <w:shd w:val="clear" w:color="auto" w:fill="FFFFFF" w:themeFill="background1"/>
                                  <w:vAlign w:val="center"/>
                                </w:tcPr>
                                <w:p w:rsidR="00745B5C" w:rsidRDefault="00745B5C" w:rsidP="00A76D10">
                                  <w:pPr>
                                    <w:tabs>
                                      <w:tab w:val="decimal" w:pos="471"/>
                                    </w:tabs>
                                    <w:rPr>
                                      <w:vertAlign w:val="superscript"/>
                                    </w:rPr>
                                  </w:pPr>
                                  <w:r w:rsidRPr="00507541">
                                    <w:t>4.41</w:t>
                                  </w:r>
                                  <w:r>
                                    <w:t>%</w:t>
                                  </w:r>
                                  <w:r>
                                    <w:rPr>
                                      <w:vertAlign w:val="superscript"/>
                                    </w:rPr>
                                    <w:t>***</w:t>
                                  </w:r>
                                </w:p>
                                <w:p w:rsidR="00745B5C" w:rsidRPr="00AD547F" w:rsidRDefault="00745B5C" w:rsidP="00A76D10">
                                  <w:pPr>
                                    <w:tabs>
                                      <w:tab w:val="decimal" w:pos="471"/>
                                    </w:tabs>
                                    <w:rPr>
                                      <w:vertAlign w:val="superscript"/>
                                    </w:rPr>
                                  </w:pPr>
                                  <w:r>
                                    <w:t>6.9%</w:t>
                                  </w:r>
                                  <w:r>
                                    <w:rPr>
                                      <w:vertAlign w:val="superscript"/>
                                    </w:rPr>
                                    <w:t>**</w:t>
                                  </w:r>
                                </w:p>
                              </w:tc>
                              <w:tc>
                                <w:tcPr>
                                  <w:tcW w:w="1368" w:type="dxa"/>
                                  <w:shd w:val="clear" w:color="auto" w:fill="FFFFFF" w:themeFill="background1"/>
                                  <w:vAlign w:val="center"/>
                                </w:tcPr>
                                <w:p w:rsidR="00745B5C" w:rsidRDefault="00745B5C" w:rsidP="00A76D10">
                                  <w:pPr>
                                    <w:tabs>
                                      <w:tab w:val="decimal" w:pos="471"/>
                                    </w:tabs>
                                  </w:pPr>
                                  <w:r>
                                    <w:t>29.1%</w:t>
                                  </w:r>
                                  <w:r>
                                    <w:rPr>
                                      <w:vertAlign w:val="superscript"/>
                                    </w:rPr>
                                    <w:t>***</w:t>
                                  </w:r>
                                </w:p>
                                <w:p w:rsidR="00745B5C" w:rsidRPr="00C11C85" w:rsidRDefault="00745B5C" w:rsidP="00A76D10">
                                  <w:pPr>
                                    <w:tabs>
                                      <w:tab w:val="decimal" w:pos="471"/>
                                    </w:tabs>
                                    <w:rPr>
                                      <w:vertAlign w:val="superscript"/>
                                    </w:rPr>
                                  </w:pPr>
                                  <w:r>
                                    <w:t>68.5%</w:t>
                                  </w:r>
                                  <w:r>
                                    <w:rPr>
                                      <w:vertAlign w:val="superscript"/>
                                    </w:rPr>
                                    <w:t>***</w:t>
                                  </w:r>
                                </w:p>
                              </w:tc>
                              <w:tc>
                                <w:tcPr>
                                  <w:tcW w:w="1368" w:type="dxa"/>
                                  <w:vAlign w:val="center"/>
                                </w:tcPr>
                                <w:p w:rsidR="00745B5C" w:rsidRDefault="00745B5C" w:rsidP="00A76D10">
                                  <w:pPr>
                                    <w:tabs>
                                      <w:tab w:val="decimal" w:pos="471"/>
                                    </w:tabs>
                                  </w:pPr>
                                  <w:r w:rsidRPr="00507541">
                                    <w:t>174.0%</w:t>
                                  </w:r>
                                  <w:r>
                                    <w:rPr>
                                      <w:vertAlign w:val="superscript"/>
                                    </w:rPr>
                                    <w:t>***</w:t>
                                  </w:r>
                                </w:p>
                                <w:p w:rsidR="00745B5C" w:rsidRPr="00D13862" w:rsidRDefault="00745B5C" w:rsidP="00A76D10">
                                  <w:pPr>
                                    <w:tabs>
                                      <w:tab w:val="decimal" w:pos="471"/>
                                    </w:tabs>
                                  </w:pPr>
                                  <w:r>
                                    <w:t>432.2%</w:t>
                                  </w:r>
                                  <w:r>
                                    <w:rPr>
                                      <w:vertAlign w:val="superscript"/>
                                    </w:rPr>
                                    <w:t>***</w:t>
                                  </w:r>
                                </w:p>
                              </w:tc>
                              <w:tc>
                                <w:tcPr>
                                  <w:tcW w:w="1368" w:type="dxa"/>
                                  <w:vAlign w:val="center"/>
                                </w:tcPr>
                                <w:p w:rsidR="00745B5C" w:rsidRDefault="00745B5C" w:rsidP="00A76D10">
                                  <w:pPr>
                                    <w:tabs>
                                      <w:tab w:val="decimal" w:pos="471"/>
                                    </w:tabs>
                                  </w:pPr>
                                  <w:r>
                                    <w:t>422.7%</w:t>
                                  </w:r>
                                  <w:r>
                                    <w:rPr>
                                      <w:vertAlign w:val="superscript"/>
                                    </w:rPr>
                                    <w:t>***</w:t>
                                  </w:r>
                                </w:p>
                                <w:p w:rsidR="00745B5C" w:rsidRPr="00C11C85" w:rsidRDefault="00745B5C" w:rsidP="00A76D10">
                                  <w:pPr>
                                    <w:tabs>
                                      <w:tab w:val="decimal" w:pos="471"/>
                                    </w:tabs>
                                    <w:rPr>
                                      <w:vertAlign w:val="superscript"/>
                                    </w:rPr>
                                  </w:pPr>
                                  <w:r>
                                    <w:t>1032.5%</w:t>
                                  </w:r>
                                  <w:r>
                                    <w:rPr>
                                      <w:vertAlign w:val="superscript"/>
                                    </w:rPr>
                                    <w:t>***</w:t>
                                  </w:r>
                                </w:p>
                              </w:tc>
                            </w:tr>
                            <w:tr w:rsidR="00745B5C" w:rsidTr="007B517E">
                              <w:trPr>
                                <w:gridAfter w:val="1"/>
                                <w:wAfter w:w="68" w:type="dxa"/>
                                <w:trHeight w:val="627"/>
                              </w:trPr>
                              <w:tc>
                                <w:tcPr>
                                  <w:tcW w:w="9270" w:type="dxa"/>
                                  <w:gridSpan w:val="7"/>
                                  <w:vAlign w:val="center"/>
                                </w:tcPr>
                                <w:p w:rsidR="00745B5C" w:rsidRDefault="00745B5C" w:rsidP="00A76D10">
                                  <w:pPr>
                                    <w:tabs>
                                      <w:tab w:val="decimal" w:pos="471"/>
                                    </w:tabs>
                                  </w:pPr>
                                  <w:r>
                                    <w:rPr>
                                      <w:i/>
                                    </w:rPr>
                                    <w:t>Period II forecasts: forecasts registered between 37-96 days prior to question closing</w:t>
                                  </w:r>
                                </w:p>
                              </w:tc>
                            </w:tr>
                            <w:tr w:rsidR="00745B5C" w:rsidTr="00A76D10">
                              <w:trPr>
                                <w:gridAfter w:val="1"/>
                                <w:wAfter w:w="68" w:type="dxa"/>
                                <w:trHeight w:val="864"/>
                              </w:trPr>
                              <w:tc>
                                <w:tcPr>
                                  <w:tcW w:w="1368" w:type="dxa"/>
                                  <w:vAlign w:val="center"/>
                                </w:tcPr>
                                <w:p w:rsidR="00745B5C" w:rsidRPr="00C85E12" w:rsidRDefault="00745B5C" w:rsidP="00A76D10">
                                  <w:pPr>
                                    <w:ind w:left="90"/>
                                  </w:pPr>
                                  <w:r w:rsidRPr="00D13862">
                                    <w:t>All 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rPr>
                                      <w:i/>
                                    </w:rPr>
                                  </w:pPr>
                                  <w:r w:rsidRPr="00AD547F">
                                    <w:rPr>
                                      <w:i/>
                                    </w:rPr>
                                    <w:t>Median:</w:t>
                                  </w:r>
                                </w:p>
                              </w:tc>
                              <w:tc>
                                <w:tcPr>
                                  <w:tcW w:w="1350" w:type="dxa"/>
                                  <w:shd w:val="clear" w:color="auto" w:fill="FFFFFF" w:themeFill="background1"/>
                                  <w:vAlign w:val="center"/>
                                </w:tcPr>
                                <w:p w:rsidR="00745B5C" w:rsidRDefault="00745B5C" w:rsidP="00A76D10">
                                  <w:pPr>
                                    <w:tabs>
                                      <w:tab w:val="decimal" w:pos="342"/>
                                    </w:tabs>
                                    <w:jc w:val="center"/>
                                  </w:pPr>
                                  <w:r>
                                    <w:t>0.148</w:t>
                                  </w:r>
                                </w:p>
                                <w:p w:rsidR="00745B5C" w:rsidRDefault="00745B5C" w:rsidP="00A76D10">
                                  <w:pPr>
                                    <w:tabs>
                                      <w:tab w:val="decimal" w:pos="342"/>
                                    </w:tabs>
                                    <w:jc w:val="center"/>
                                  </w:pPr>
                                  <w:r>
                                    <w:t>0.104</w:t>
                                  </w:r>
                                </w:p>
                              </w:tc>
                              <w:tc>
                                <w:tcPr>
                                  <w:tcW w:w="1368" w:type="dxa"/>
                                  <w:tcBorders>
                                    <w:left w:val="nil"/>
                                  </w:tcBorders>
                                  <w:shd w:val="clear" w:color="auto" w:fill="FFFFFF" w:themeFill="background1"/>
                                  <w:vAlign w:val="center"/>
                                </w:tcPr>
                                <w:p w:rsidR="00745B5C" w:rsidRDefault="00745B5C" w:rsidP="00A76D10">
                                  <w:pPr>
                                    <w:tabs>
                                      <w:tab w:val="decimal" w:pos="471"/>
                                    </w:tabs>
                                  </w:pPr>
                                  <w:r>
                                    <w:t>1.0%</w:t>
                                  </w:r>
                                  <w:r>
                                    <w:rPr>
                                      <w:vertAlign w:val="superscript"/>
                                    </w:rPr>
                                    <w:t>***</w:t>
                                  </w:r>
                                </w:p>
                                <w:p w:rsidR="00745B5C" w:rsidRPr="00AD547F" w:rsidRDefault="00745B5C" w:rsidP="00A76D10">
                                  <w:pPr>
                                    <w:tabs>
                                      <w:tab w:val="decimal" w:pos="471"/>
                                    </w:tabs>
                                    <w:rPr>
                                      <w:vertAlign w:val="superscript"/>
                                    </w:rPr>
                                  </w:pPr>
                                  <w:r>
                                    <w:t>1.0%</w:t>
                                  </w:r>
                                  <w:r>
                                    <w:rPr>
                                      <w:vertAlign w:val="superscript"/>
                                    </w:rPr>
                                    <w:t>***</w:t>
                                  </w:r>
                                </w:p>
                              </w:tc>
                              <w:tc>
                                <w:tcPr>
                                  <w:tcW w:w="1368" w:type="dxa"/>
                                  <w:shd w:val="clear" w:color="auto" w:fill="FFFFFF" w:themeFill="background1"/>
                                  <w:vAlign w:val="center"/>
                                </w:tcPr>
                                <w:p w:rsidR="00745B5C" w:rsidRDefault="00745B5C" w:rsidP="00A76D10">
                                  <w:pPr>
                                    <w:tabs>
                                      <w:tab w:val="decimal" w:pos="471"/>
                                    </w:tabs>
                                  </w:pPr>
                                  <w:r>
                                    <w:t>3.8%</w:t>
                                  </w:r>
                                </w:p>
                                <w:p w:rsidR="00745B5C" w:rsidRPr="0002340F" w:rsidRDefault="00745B5C" w:rsidP="00A76D10">
                                  <w:pPr>
                                    <w:tabs>
                                      <w:tab w:val="decimal" w:pos="471"/>
                                    </w:tabs>
                                    <w:rPr>
                                      <w:vertAlign w:val="superscript"/>
                                    </w:rPr>
                                  </w:pPr>
                                  <w:r>
                                    <w:t>1.9%</w:t>
                                  </w:r>
                                  <w:r>
                                    <w:rPr>
                                      <w:vertAlign w:val="superscript"/>
                                    </w:rPr>
                                    <w:t>*</w:t>
                                  </w:r>
                                </w:p>
                              </w:tc>
                              <w:tc>
                                <w:tcPr>
                                  <w:tcW w:w="1368" w:type="dxa"/>
                                  <w:vAlign w:val="center"/>
                                </w:tcPr>
                                <w:p w:rsidR="00745B5C" w:rsidRDefault="00745B5C" w:rsidP="00A76D10">
                                  <w:pPr>
                                    <w:tabs>
                                      <w:tab w:val="decimal" w:pos="471"/>
                                    </w:tabs>
                                    <w:rPr>
                                      <w:vertAlign w:val="superscript"/>
                                    </w:rPr>
                                  </w:pPr>
                                  <w:r>
                                    <w:t>21.0%</w:t>
                                  </w:r>
                                  <w:r>
                                    <w:rPr>
                                      <w:vertAlign w:val="superscript"/>
                                    </w:rPr>
                                    <w:t>***</w:t>
                                  </w:r>
                                </w:p>
                                <w:p w:rsidR="00745B5C" w:rsidRPr="00C11C85" w:rsidRDefault="00745B5C" w:rsidP="00A76D10">
                                  <w:pPr>
                                    <w:tabs>
                                      <w:tab w:val="decimal" w:pos="471"/>
                                    </w:tabs>
                                  </w:pPr>
                                  <w:r>
                                    <w:t>8.5%</w:t>
                                  </w:r>
                                  <w:r>
                                    <w:rPr>
                                      <w:vertAlign w:val="superscript"/>
                                    </w:rPr>
                                    <w:t>***</w:t>
                                  </w:r>
                                </w:p>
                              </w:tc>
                              <w:tc>
                                <w:tcPr>
                                  <w:tcW w:w="1368" w:type="dxa"/>
                                  <w:vAlign w:val="center"/>
                                </w:tcPr>
                                <w:p w:rsidR="00745B5C" w:rsidRDefault="00745B5C" w:rsidP="00A76D10">
                                  <w:pPr>
                                    <w:tabs>
                                      <w:tab w:val="decimal" w:pos="471"/>
                                    </w:tabs>
                                    <w:rPr>
                                      <w:vertAlign w:val="superscript"/>
                                    </w:rPr>
                                  </w:pPr>
                                  <w:r>
                                    <w:t>55.6%</w:t>
                                  </w:r>
                                  <w:r>
                                    <w:rPr>
                                      <w:vertAlign w:val="superscript"/>
                                    </w:rPr>
                                    <w:t>***</w:t>
                                  </w:r>
                                </w:p>
                                <w:p w:rsidR="00745B5C" w:rsidRPr="00F53DD2" w:rsidRDefault="00745B5C" w:rsidP="00A76D10">
                                  <w:pPr>
                                    <w:tabs>
                                      <w:tab w:val="decimal" w:pos="471"/>
                                    </w:tabs>
                                  </w:pPr>
                                  <w:r>
                                    <w:t>22.0%</w:t>
                                  </w:r>
                                  <w:r>
                                    <w:rPr>
                                      <w:vertAlign w:val="superscript"/>
                                    </w:rPr>
                                    <w:t>***</w:t>
                                  </w:r>
                                </w:p>
                              </w:tc>
                            </w:tr>
                            <w:tr w:rsidR="00745B5C" w:rsidTr="00A76D10">
                              <w:trPr>
                                <w:gridAfter w:val="1"/>
                                <w:wAfter w:w="68" w:type="dxa"/>
                                <w:trHeight w:val="864"/>
                              </w:trPr>
                              <w:tc>
                                <w:tcPr>
                                  <w:tcW w:w="1368" w:type="dxa"/>
                                  <w:vAlign w:val="center"/>
                                </w:tcPr>
                                <w:p w:rsidR="00745B5C" w:rsidRPr="00A32E8E" w:rsidRDefault="00745B5C" w:rsidP="00A76D10">
                                  <w:pPr>
                                    <w:ind w:left="90"/>
                                  </w:pPr>
                                  <w:r>
                                    <w:t>Super-forecasters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pPr>
                                  <w:r w:rsidRPr="00AD547F">
                                    <w:rPr>
                                      <w:i/>
                                    </w:rPr>
                                    <w:t>Median:</w:t>
                                  </w:r>
                                </w:p>
                              </w:tc>
                              <w:tc>
                                <w:tcPr>
                                  <w:tcW w:w="1350" w:type="dxa"/>
                                  <w:shd w:val="clear" w:color="auto" w:fill="FFFFFF" w:themeFill="background1"/>
                                  <w:vAlign w:val="center"/>
                                </w:tcPr>
                                <w:p w:rsidR="00745B5C" w:rsidRDefault="00745B5C" w:rsidP="00A76D10">
                                  <w:pPr>
                                    <w:tabs>
                                      <w:tab w:val="decimal" w:pos="342"/>
                                    </w:tabs>
                                    <w:jc w:val="center"/>
                                  </w:pPr>
                                  <w:r>
                                    <w:t>0.119</w:t>
                                  </w:r>
                                </w:p>
                                <w:p w:rsidR="00745B5C" w:rsidRDefault="00745B5C" w:rsidP="00A76D10">
                                  <w:pPr>
                                    <w:tabs>
                                      <w:tab w:val="decimal" w:pos="342"/>
                                    </w:tabs>
                                    <w:jc w:val="center"/>
                                  </w:pPr>
                                  <w:r>
                                    <w:t>0.047</w:t>
                                  </w:r>
                                </w:p>
                              </w:tc>
                              <w:tc>
                                <w:tcPr>
                                  <w:tcW w:w="1368" w:type="dxa"/>
                                  <w:tcBorders>
                                    <w:left w:val="nil"/>
                                  </w:tcBorders>
                                  <w:shd w:val="clear" w:color="auto" w:fill="FFFFFF" w:themeFill="background1"/>
                                  <w:vAlign w:val="center"/>
                                </w:tcPr>
                                <w:p w:rsidR="00745B5C" w:rsidRDefault="00745B5C" w:rsidP="00A76D10">
                                  <w:pPr>
                                    <w:tabs>
                                      <w:tab w:val="decimal" w:pos="471"/>
                                    </w:tabs>
                                    <w:rPr>
                                      <w:vertAlign w:val="superscript"/>
                                    </w:rPr>
                                  </w:pPr>
                                  <w:r>
                                    <w:t>32.0%</w:t>
                                  </w:r>
                                  <w:r>
                                    <w:rPr>
                                      <w:vertAlign w:val="superscript"/>
                                    </w:rPr>
                                    <w:t>***</w:t>
                                  </w:r>
                                </w:p>
                                <w:p w:rsidR="00745B5C" w:rsidRPr="00AD547F" w:rsidRDefault="00745B5C" w:rsidP="00A76D10">
                                  <w:pPr>
                                    <w:tabs>
                                      <w:tab w:val="decimal" w:pos="471"/>
                                    </w:tabs>
                                    <w:rPr>
                                      <w:vertAlign w:val="superscript"/>
                                    </w:rPr>
                                  </w:pPr>
                                  <w:r>
                                    <w:t>2.5%</w:t>
                                  </w:r>
                                  <w:r>
                                    <w:rPr>
                                      <w:vertAlign w:val="superscript"/>
                                    </w:rPr>
                                    <w:t>**</w:t>
                                  </w:r>
                                </w:p>
                              </w:tc>
                              <w:tc>
                                <w:tcPr>
                                  <w:tcW w:w="1368" w:type="dxa"/>
                                  <w:shd w:val="clear" w:color="auto" w:fill="FFFFFF" w:themeFill="background1"/>
                                  <w:vAlign w:val="center"/>
                                </w:tcPr>
                                <w:p w:rsidR="00745B5C" w:rsidRDefault="00745B5C" w:rsidP="00A76D10">
                                  <w:pPr>
                                    <w:tabs>
                                      <w:tab w:val="decimal" w:pos="471"/>
                                    </w:tabs>
                                  </w:pPr>
                                  <w:r>
                                    <w:t>215.2%</w:t>
                                  </w:r>
                                  <w:r>
                                    <w:rPr>
                                      <w:vertAlign w:val="superscript"/>
                                    </w:rPr>
                                    <w:t>*</w:t>
                                  </w:r>
                                </w:p>
                                <w:p w:rsidR="00745B5C" w:rsidRPr="00C11C85" w:rsidRDefault="00745B5C" w:rsidP="00A76D10">
                                  <w:pPr>
                                    <w:tabs>
                                      <w:tab w:val="decimal" w:pos="471"/>
                                    </w:tabs>
                                    <w:rPr>
                                      <w:vertAlign w:val="superscript"/>
                                    </w:rPr>
                                  </w:pPr>
                                  <w:r>
                                    <w:t>14.5%</w:t>
                                  </w:r>
                                  <w:r>
                                    <w:rPr>
                                      <w:vertAlign w:val="superscript"/>
                                    </w:rPr>
                                    <w:t>***</w:t>
                                  </w:r>
                                </w:p>
                              </w:tc>
                              <w:tc>
                                <w:tcPr>
                                  <w:tcW w:w="1368" w:type="dxa"/>
                                  <w:vAlign w:val="center"/>
                                </w:tcPr>
                                <w:p w:rsidR="00745B5C" w:rsidRDefault="00745B5C" w:rsidP="00A76D10">
                                  <w:pPr>
                                    <w:tabs>
                                      <w:tab w:val="decimal" w:pos="471"/>
                                    </w:tabs>
                                  </w:pPr>
                                  <w:r>
                                    <w:t>1251.6%</w:t>
                                  </w:r>
                                  <w:r>
                                    <w:rPr>
                                      <w:vertAlign w:val="superscript"/>
                                    </w:rPr>
                                    <w:t>***</w:t>
                                  </w:r>
                                </w:p>
                                <w:p w:rsidR="00745B5C" w:rsidRPr="00D13862" w:rsidRDefault="00745B5C" w:rsidP="00A76D10">
                                  <w:pPr>
                                    <w:tabs>
                                      <w:tab w:val="decimal" w:pos="471"/>
                                    </w:tabs>
                                  </w:pPr>
                                  <w:r>
                                    <w:t>97.3%</w:t>
                                  </w:r>
                                  <w:r>
                                    <w:rPr>
                                      <w:vertAlign w:val="superscript"/>
                                    </w:rPr>
                                    <w:t>***</w:t>
                                  </w:r>
                                </w:p>
                              </w:tc>
                              <w:tc>
                                <w:tcPr>
                                  <w:tcW w:w="1368" w:type="dxa"/>
                                  <w:vAlign w:val="center"/>
                                </w:tcPr>
                                <w:p w:rsidR="00745B5C" w:rsidRDefault="00745B5C" w:rsidP="00A76D10">
                                  <w:pPr>
                                    <w:tabs>
                                      <w:tab w:val="decimal" w:pos="471"/>
                                    </w:tabs>
                                  </w:pPr>
                                  <w:r>
                                    <w:t>2869.9%</w:t>
                                  </w:r>
                                  <w:r>
                                    <w:rPr>
                                      <w:vertAlign w:val="superscript"/>
                                    </w:rPr>
                                    <w:t>***</w:t>
                                  </w:r>
                                </w:p>
                                <w:p w:rsidR="00745B5C" w:rsidRPr="00C11C85" w:rsidRDefault="00745B5C" w:rsidP="00A76D10">
                                  <w:pPr>
                                    <w:tabs>
                                      <w:tab w:val="decimal" w:pos="471"/>
                                    </w:tabs>
                                    <w:rPr>
                                      <w:vertAlign w:val="superscript"/>
                                    </w:rPr>
                                  </w:pPr>
                                  <w:r>
                                    <w:t>255.1%</w:t>
                                  </w:r>
                                  <w:r>
                                    <w:rPr>
                                      <w:vertAlign w:val="superscript"/>
                                    </w:rPr>
                                    <w:t>***</w:t>
                                  </w:r>
                                </w:p>
                              </w:tc>
                            </w:tr>
                            <w:tr w:rsidR="00745B5C" w:rsidTr="007B517E">
                              <w:trPr>
                                <w:gridAfter w:val="1"/>
                                <w:wAfter w:w="68" w:type="dxa"/>
                                <w:trHeight w:val="645"/>
                              </w:trPr>
                              <w:tc>
                                <w:tcPr>
                                  <w:tcW w:w="9270" w:type="dxa"/>
                                  <w:gridSpan w:val="7"/>
                                  <w:vAlign w:val="center"/>
                                </w:tcPr>
                                <w:p w:rsidR="00745B5C" w:rsidRDefault="00745B5C" w:rsidP="00A76D10">
                                  <w:pPr>
                                    <w:tabs>
                                      <w:tab w:val="decimal" w:pos="471"/>
                                    </w:tabs>
                                  </w:pPr>
                                  <w:r>
                                    <w:rPr>
                                      <w:i/>
                                    </w:rPr>
                                    <w:t>Period III forecasts: forecasts registered at least 97 days prior to question closing</w:t>
                                  </w:r>
                                </w:p>
                              </w:tc>
                            </w:tr>
                            <w:tr w:rsidR="00745B5C" w:rsidTr="00A76D10">
                              <w:trPr>
                                <w:gridAfter w:val="1"/>
                                <w:wAfter w:w="68" w:type="dxa"/>
                                <w:trHeight w:val="864"/>
                              </w:trPr>
                              <w:tc>
                                <w:tcPr>
                                  <w:tcW w:w="1368" w:type="dxa"/>
                                  <w:vAlign w:val="center"/>
                                </w:tcPr>
                                <w:p w:rsidR="00745B5C" w:rsidRPr="00C85E12" w:rsidRDefault="00745B5C" w:rsidP="00A76D10">
                                  <w:pPr>
                                    <w:ind w:left="90"/>
                                  </w:pPr>
                                  <w:r w:rsidRPr="00D13862">
                                    <w:t>All 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rPr>
                                      <w:i/>
                                    </w:rPr>
                                  </w:pPr>
                                  <w:r w:rsidRPr="00AD547F">
                                    <w:rPr>
                                      <w:i/>
                                    </w:rPr>
                                    <w:t>Median:</w:t>
                                  </w:r>
                                </w:p>
                              </w:tc>
                              <w:tc>
                                <w:tcPr>
                                  <w:tcW w:w="1350" w:type="dxa"/>
                                  <w:shd w:val="clear" w:color="auto" w:fill="FFFFFF" w:themeFill="background1"/>
                                  <w:vAlign w:val="center"/>
                                </w:tcPr>
                                <w:p w:rsidR="00745B5C" w:rsidRDefault="00745B5C" w:rsidP="00A76D10">
                                  <w:pPr>
                                    <w:tabs>
                                      <w:tab w:val="decimal" w:pos="342"/>
                                    </w:tabs>
                                    <w:jc w:val="center"/>
                                  </w:pPr>
                                  <w:r>
                                    <w:t>0.187</w:t>
                                  </w:r>
                                </w:p>
                                <w:p w:rsidR="00745B5C" w:rsidRDefault="00745B5C" w:rsidP="00A76D10">
                                  <w:pPr>
                                    <w:tabs>
                                      <w:tab w:val="decimal" w:pos="342"/>
                                    </w:tabs>
                                    <w:jc w:val="center"/>
                                  </w:pPr>
                                  <w:r>
                                    <w:t>0.155</w:t>
                                  </w:r>
                                </w:p>
                              </w:tc>
                              <w:tc>
                                <w:tcPr>
                                  <w:tcW w:w="1368" w:type="dxa"/>
                                  <w:tcBorders>
                                    <w:left w:val="nil"/>
                                  </w:tcBorders>
                                  <w:shd w:val="clear" w:color="auto" w:fill="FFFFFF" w:themeFill="background1"/>
                                  <w:vAlign w:val="center"/>
                                </w:tcPr>
                                <w:p w:rsidR="00745B5C" w:rsidRDefault="00745B5C" w:rsidP="00A76D10">
                                  <w:pPr>
                                    <w:tabs>
                                      <w:tab w:val="decimal" w:pos="471"/>
                                    </w:tabs>
                                  </w:pPr>
                                  <w:r>
                                    <w:t>0.7%</w:t>
                                  </w:r>
                                  <w:r>
                                    <w:rPr>
                                      <w:vertAlign w:val="superscript"/>
                                    </w:rPr>
                                    <w:t>***</w:t>
                                  </w:r>
                                </w:p>
                                <w:p w:rsidR="00745B5C" w:rsidRPr="00AD547F" w:rsidRDefault="00745B5C" w:rsidP="00A76D10">
                                  <w:pPr>
                                    <w:tabs>
                                      <w:tab w:val="decimal" w:pos="471"/>
                                    </w:tabs>
                                    <w:rPr>
                                      <w:vertAlign w:val="superscript"/>
                                    </w:rPr>
                                  </w:pPr>
                                  <w:r>
                                    <w:t>0.9%</w:t>
                                  </w:r>
                                  <w:r>
                                    <w:rPr>
                                      <w:vertAlign w:val="superscript"/>
                                    </w:rPr>
                                    <w:t>***</w:t>
                                  </w:r>
                                </w:p>
                              </w:tc>
                              <w:tc>
                                <w:tcPr>
                                  <w:tcW w:w="1368" w:type="dxa"/>
                                  <w:shd w:val="clear" w:color="auto" w:fill="FFFFFF" w:themeFill="background1"/>
                                  <w:vAlign w:val="center"/>
                                </w:tcPr>
                                <w:p w:rsidR="00745B5C" w:rsidRDefault="00745B5C" w:rsidP="00A76D10">
                                  <w:pPr>
                                    <w:tabs>
                                      <w:tab w:val="decimal" w:pos="471"/>
                                    </w:tabs>
                                  </w:pPr>
                                  <w:r>
                                    <w:t>1.2%</w:t>
                                  </w:r>
                                </w:p>
                                <w:p w:rsidR="00745B5C" w:rsidRPr="0002340F" w:rsidRDefault="00745B5C" w:rsidP="00A76D10">
                                  <w:pPr>
                                    <w:tabs>
                                      <w:tab w:val="decimal" w:pos="471"/>
                                    </w:tabs>
                                    <w:rPr>
                                      <w:vertAlign w:val="superscript"/>
                                    </w:rPr>
                                  </w:pPr>
                                  <w:r>
                                    <w:t>0.8%</w:t>
                                  </w:r>
                                  <w:r>
                                    <w:rPr>
                                      <w:vertAlign w:val="superscript"/>
                                    </w:rPr>
                                    <w:t>*</w:t>
                                  </w:r>
                                </w:p>
                              </w:tc>
                              <w:tc>
                                <w:tcPr>
                                  <w:tcW w:w="1368" w:type="dxa"/>
                                  <w:vAlign w:val="center"/>
                                </w:tcPr>
                                <w:p w:rsidR="00745B5C" w:rsidRDefault="00745B5C" w:rsidP="00A76D10">
                                  <w:pPr>
                                    <w:tabs>
                                      <w:tab w:val="decimal" w:pos="471"/>
                                    </w:tabs>
                                    <w:rPr>
                                      <w:vertAlign w:val="superscript"/>
                                    </w:rPr>
                                  </w:pPr>
                                  <w:r>
                                    <w:t>6.6%</w:t>
                                  </w:r>
                                  <w:r>
                                    <w:rPr>
                                      <w:vertAlign w:val="superscript"/>
                                    </w:rPr>
                                    <w:t>***</w:t>
                                  </w:r>
                                </w:p>
                                <w:p w:rsidR="00745B5C" w:rsidRPr="00C11C85" w:rsidRDefault="00745B5C" w:rsidP="00A76D10">
                                  <w:pPr>
                                    <w:tabs>
                                      <w:tab w:val="decimal" w:pos="471"/>
                                    </w:tabs>
                                  </w:pPr>
                                  <w:r>
                                    <w:t>3.7%</w:t>
                                  </w:r>
                                  <w:r>
                                    <w:rPr>
                                      <w:vertAlign w:val="superscript"/>
                                    </w:rPr>
                                    <w:t>***</w:t>
                                  </w:r>
                                </w:p>
                              </w:tc>
                              <w:tc>
                                <w:tcPr>
                                  <w:tcW w:w="1368" w:type="dxa"/>
                                  <w:vAlign w:val="center"/>
                                </w:tcPr>
                                <w:p w:rsidR="00745B5C" w:rsidRDefault="00745B5C" w:rsidP="00A76D10">
                                  <w:pPr>
                                    <w:tabs>
                                      <w:tab w:val="decimal" w:pos="471"/>
                                    </w:tabs>
                                    <w:rPr>
                                      <w:vertAlign w:val="superscript"/>
                                    </w:rPr>
                                  </w:pPr>
                                  <w:r>
                                    <w:t>18.3%</w:t>
                                  </w:r>
                                  <w:r>
                                    <w:rPr>
                                      <w:vertAlign w:val="superscript"/>
                                    </w:rPr>
                                    <w:t>***</w:t>
                                  </w:r>
                                </w:p>
                                <w:p w:rsidR="00745B5C" w:rsidRPr="00F53DD2" w:rsidRDefault="00745B5C" w:rsidP="00A76D10">
                                  <w:pPr>
                                    <w:tabs>
                                      <w:tab w:val="decimal" w:pos="471"/>
                                    </w:tabs>
                                  </w:pPr>
                                  <w:r>
                                    <w:t>11.8%</w:t>
                                  </w:r>
                                  <w:r>
                                    <w:rPr>
                                      <w:vertAlign w:val="superscript"/>
                                    </w:rPr>
                                    <w:t>***</w:t>
                                  </w:r>
                                </w:p>
                              </w:tc>
                            </w:tr>
                            <w:tr w:rsidR="00745B5C" w:rsidTr="00A76D10">
                              <w:trPr>
                                <w:gridAfter w:val="1"/>
                                <w:wAfter w:w="68" w:type="dxa"/>
                                <w:trHeight w:val="864"/>
                              </w:trPr>
                              <w:tc>
                                <w:tcPr>
                                  <w:tcW w:w="1368" w:type="dxa"/>
                                  <w:tcBorders>
                                    <w:bottom w:val="single" w:sz="4" w:space="0" w:color="auto"/>
                                  </w:tcBorders>
                                  <w:vAlign w:val="center"/>
                                </w:tcPr>
                                <w:p w:rsidR="00745B5C" w:rsidRPr="00A32E8E" w:rsidRDefault="00745B5C" w:rsidP="00A76D10">
                                  <w:pPr>
                                    <w:ind w:left="90"/>
                                  </w:pPr>
                                  <w:r>
                                    <w:t>Super-forecasters</w:t>
                                  </w:r>
                                </w:p>
                              </w:tc>
                              <w:tc>
                                <w:tcPr>
                                  <w:tcW w:w="1080" w:type="dxa"/>
                                  <w:tcBorders>
                                    <w:bottom w:val="single" w:sz="4" w:space="0" w:color="auto"/>
                                  </w:tcBorders>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pPr>
                                  <w:r w:rsidRPr="00AD547F">
                                    <w:rPr>
                                      <w:i/>
                                    </w:rPr>
                                    <w:t>Median:</w:t>
                                  </w:r>
                                </w:p>
                              </w:tc>
                              <w:tc>
                                <w:tcPr>
                                  <w:tcW w:w="1350" w:type="dxa"/>
                                  <w:tcBorders>
                                    <w:bottom w:val="single" w:sz="4" w:space="0" w:color="auto"/>
                                  </w:tcBorders>
                                  <w:shd w:val="clear" w:color="auto" w:fill="FFFFFF" w:themeFill="background1"/>
                                  <w:vAlign w:val="center"/>
                                </w:tcPr>
                                <w:p w:rsidR="00745B5C" w:rsidRDefault="00745B5C" w:rsidP="00A76D10">
                                  <w:pPr>
                                    <w:tabs>
                                      <w:tab w:val="decimal" w:pos="342"/>
                                    </w:tabs>
                                    <w:jc w:val="center"/>
                                  </w:pPr>
                                  <w:r>
                                    <w:t>0.119</w:t>
                                  </w:r>
                                </w:p>
                                <w:p w:rsidR="00745B5C" w:rsidRDefault="00745B5C" w:rsidP="00A76D10">
                                  <w:pPr>
                                    <w:tabs>
                                      <w:tab w:val="decimal" w:pos="342"/>
                                    </w:tabs>
                                    <w:jc w:val="center"/>
                                  </w:pPr>
                                  <w:r>
                                    <w:t>0.047</w:t>
                                  </w:r>
                                </w:p>
                              </w:tc>
                              <w:tc>
                                <w:tcPr>
                                  <w:tcW w:w="1368" w:type="dxa"/>
                                  <w:tcBorders>
                                    <w:left w:val="nil"/>
                                    <w:bottom w:val="single" w:sz="4" w:space="0" w:color="auto"/>
                                  </w:tcBorders>
                                  <w:shd w:val="clear" w:color="auto" w:fill="FFFFFF" w:themeFill="background1"/>
                                  <w:vAlign w:val="center"/>
                                </w:tcPr>
                                <w:p w:rsidR="00745B5C" w:rsidRDefault="00745B5C" w:rsidP="00A76D10">
                                  <w:pPr>
                                    <w:tabs>
                                      <w:tab w:val="decimal" w:pos="471"/>
                                    </w:tabs>
                                    <w:rPr>
                                      <w:vertAlign w:val="superscript"/>
                                    </w:rPr>
                                  </w:pPr>
                                  <w:r>
                                    <w:t>0.9%</w:t>
                                  </w:r>
                                  <w:r>
                                    <w:rPr>
                                      <w:vertAlign w:val="superscript"/>
                                    </w:rPr>
                                    <w:t>***</w:t>
                                  </w:r>
                                </w:p>
                                <w:p w:rsidR="00745B5C" w:rsidRPr="00AD547F" w:rsidRDefault="00745B5C" w:rsidP="00A76D10">
                                  <w:pPr>
                                    <w:tabs>
                                      <w:tab w:val="decimal" w:pos="471"/>
                                    </w:tabs>
                                    <w:rPr>
                                      <w:vertAlign w:val="superscript"/>
                                    </w:rPr>
                                  </w:pPr>
                                  <w:r>
                                    <w:t>0.7%</w:t>
                                  </w:r>
                                  <w:r>
                                    <w:rPr>
                                      <w:vertAlign w:val="superscript"/>
                                    </w:rPr>
                                    <w:t>**</w:t>
                                  </w:r>
                                </w:p>
                              </w:tc>
                              <w:tc>
                                <w:tcPr>
                                  <w:tcW w:w="1368" w:type="dxa"/>
                                  <w:tcBorders>
                                    <w:bottom w:val="single" w:sz="4" w:space="0" w:color="auto"/>
                                  </w:tcBorders>
                                  <w:shd w:val="clear" w:color="auto" w:fill="FFFFFF" w:themeFill="background1"/>
                                  <w:vAlign w:val="center"/>
                                </w:tcPr>
                                <w:p w:rsidR="00745B5C" w:rsidRDefault="00745B5C" w:rsidP="00A76D10">
                                  <w:pPr>
                                    <w:tabs>
                                      <w:tab w:val="decimal" w:pos="471"/>
                                    </w:tabs>
                                  </w:pPr>
                                  <w:r>
                                    <w:t>13.5%</w:t>
                                  </w:r>
                                  <w:r>
                                    <w:rPr>
                                      <w:vertAlign w:val="superscript"/>
                                    </w:rPr>
                                    <w:t>**</w:t>
                                  </w:r>
                                </w:p>
                                <w:p w:rsidR="00745B5C" w:rsidRPr="00C11C85" w:rsidRDefault="00745B5C" w:rsidP="00A76D10">
                                  <w:pPr>
                                    <w:tabs>
                                      <w:tab w:val="decimal" w:pos="471"/>
                                    </w:tabs>
                                    <w:rPr>
                                      <w:vertAlign w:val="superscript"/>
                                    </w:rPr>
                                  </w:pPr>
                                  <w:r>
                                    <w:t>6.3%</w:t>
                                  </w:r>
                                  <w:r>
                                    <w:rPr>
                                      <w:vertAlign w:val="superscript"/>
                                    </w:rPr>
                                    <w:t>***</w:t>
                                  </w:r>
                                </w:p>
                              </w:tc>
                              <w:tc>
                                <w:tcPr>
                                  <w:tcW w:w="1368" w:type="dxa"/>
                                  <w:tcBorders>
                                    <w:bottom w:val="single" w:sz="4" w:space="0" w:color="auto"/>
                                  </w:tcBorders>
                                  <w:vAlign w:val="center"/>
                                </w:tcPr>
                                <w:p w:rsidR="00745B5C" w:rsidRDefault="00745B5C" w:rsidP="00A76D10">
                                  <w:pPr>
                                    <w:tabs>
                                      <w:tab w:val="decimal" w:pos="471"/>
                                    </w:tabs>
                                  </w:pPr>
                                  <w:r>
                                    <w:t>78.2%</w:t>
                                  </w:r>
                                  <w:r>
                                    <w:rPr>
                                      <w:vertAlign w:val="superscript"/>
                                    </w:rPr>
                                    <w:t>***</w:t>
                                  </w:r>
                                </w:p>
                                <w:p w:rsidR="00745B5C" w:rsidRPr="00D13862" w:rsidRDefault="00745B5C" w:rsidP="00A76D10">
                                  <w:pPr>
                                    <w:tabs>
                                      <w:tab w:val="decimal" w:pos="471"/>
                                    </w:tabs>
                                  </w:pPr>
                                  <w:r>
                                    <w:t>22.6%</w:t>
                                  </w:r>
                                  <w:r>
                                    <w:rPr>
                                      <w:vertAlign w:val="superscript"/>
                                    </w:rPr>
                                    <w:t>***</w:t>
                                  </w:r>
                                </w:p>
                              </w:tc>
                              <w:tc>
                                <w:tcPr>
                                  <w:tcW w:w="1368" w:type="dxa"/>
                                  <w:tcBorders>
                                    <w:bottom w:val="single" w:sz="4" w:space="0" w:color="auto"/>
                                  </w:tcBorders>
                                  <w:vAlign w:val="center"/>
                                </w:tcPr>
                                <w:p w:rsidR="00745B5C" w:rsidRDefault="00745B5C" w:rsidP="00A76D10">
                                  <w:pPr>
                                    <w:tabs>
                                      <w:tab w:val="decimal" w:pos="471"/>
                                    </w:tabs>
                                  </w:pPr>
                                  <w:r>
                                    <w:t>204.4%</w:t>
                                  </w:r>
                                  <w:r>
                                    <w:rPr>
                                      <w:vertAlign w:val="superscript"/>
                                    </w:rPr>
                                    <w:t>***</w:t>
                                  </w:r>
                                </w:p>
                                <w:p w:rsidR="00745B5C" w:rsidRPr="00C11C85" w:rsidRDefault="00745B5C" w:rsidP="00A76D10">
                                  <w:pPr>
                                    <w:tabs>
                                      <w:tab w:val="decimal" w:pos="471"/>
                                    </w:tabs>
                                    <w:rPr>
                                      <w:vertAlign w:val="superscript"/>
                                    </w:rPr>
                                  </w:pPr>
                                  <w:r>
                                    <w:t>72.9%</w:t>
                                  </w:r>
                                  <w:r>
                                    <w:rPr>
                                      <w:vertAlign w:val="superscript"/>
                                    </w:rPr>
                                    <w:t>***</w:t>
                                  </w:r>
                                </w:p>
                              </w:tc>
                            </w:tr>
                          </w:tbl>
                          <w:p w:rsidR="00745B5C" w:rsidRPr="00CC0E00" w:rsidRDefault="00745B5C" w:rsidP="00745B5C">
                            <w:pPr>
                              <w:rPr>
                                <w:sz w:val="22"/>
                                <w:szCs w:val="22"/>
                              </w:rPr>
                            </w:pPr>
                            <w:r w:rsidRPr="00AD368F">
                              <w:rPr>
                                <w:sz w:val="22"/>
                                <w:szCs w:val="22"/>
                                <w:vertAlign w:val="superscript"/>
                              </w:rPr>
                              <w:t>*</w:t>
                            </w:r>
                            <w:r>
                              <w:rPr>
                                <w:sz w:val="22"/>
                                <w:szCs w:val="22"/>
                              </w:rPr>
                              <w:t>p&lt;0.05</w:t>
                            </w:r>
                            <w:r w:rsidRPr="00AD368F">
                              <w:rPr>
                                <w:sz w:val="22"/>
                                <w:szCs w:val="22"/>
                              </w:rPr>
                              <w:t xml:space="preserve">, </w:t>
                            </w:r>
                            <w:r w:rsidRPr="00AD368F">
                              <w:rPr>
                                <w:sz w:val="22"/>
                                <w:szCs w:val="22"/>
                                <w:vertAlign w:val="superscript"/>
                              </w:rPr>
                              <w:t>**</w:t>
                            </w:r>
                            <w:r w:rsidRPr="00AD368F">
                              <w:rPr>
                                <w:sz w:val="22"/>
                                <w:szCs w:val="22"/>
                              </w:rPr>
                              <w:t xml:space="preserve"> p&lt;</w:t>
                            </w:r>
                            <w:r>
                              <w:rPr>
                                <w:sz w:val="22"/>
                                <w:szCs w:val="22"/>
                              </w:rPr>
                              <w:t>0</w:t>
                            </w:r>
                            <w:r w:rsidRPr="00AD368F">
                              <w:rPr>
                                <w:sz w:val="22"/>
                                <w:szCs w:val="22"/>
                              </w:rPr>
                              <w:t>.0</w:t>
                            </w:r>
                            <w:r>
                              <w:rPr>
                                <w:sz w:val="22"/>
                                <w:szCs w:val="22"/>
                              </w:rPr>
                              <w:t>1</w:t>
                            </w:r>
                            <w:r w:rsidRPr="00AD368F">
                              <w:rPr>
                                <w:sz w:val="22"/>
                                <w:szCs w:val="22"/>
                              </w:rPr>
                              <w:t xml:space="preserve">, </w:t>
                            </w:r>
                            <w:r w:rsidRPr="00AD368F">
                              <w:rPr>
                                <w:sz w:val="22"/>
                                <w:szCs w:val="22"/>
                                <w:vertAlign w:val="superscript"/>
                              </w:rPr>
                              <w:t>***</w:t>
                            </w:r>
                            <w:r w:rsidRPr="00AD368F">
                              <w:rPr>
                                <w:sz w:val="22"/>
                                <w:szCs w:val="22"/>
                              </w:rPr>
                              <w:t xml:space="preserve"> p&lt;</w:t>
                            </w:r>
                            <w:r>
                              <w:rPr>
                                <w:sz w:val="22"/>
                                <w:szCs w:val="22"/>
                              </w:rPr>
                              <w:t>0</w:t>
                            </w:r>
                            <w:r w:rsidRPr="00AD368F">
                              <w:rPr>
                                <w:sz w:val="22"/>
                                <w:szCs w:val="22"/>
                              </w:rPr>
                              <w:t>.00</w:t>
                            </w:r>
                            <w:r>
                              <w:rPr>
                                <w:sz w:val="22"/>
                                <w:szCs w:val="22"/>
                              </w:rPr>
                              <w:t>1</w:t>
                            </w:r>
                            <w:r w:rsidRPr="00AD368F">
                              <w:rPr>
                                <w:sz w:val="22"/>
                                <w:szCs w:val="22"/>
                              </w:rPr>
                              <w:t>.</w:t>
                            </w:r>
                            <w:r>
                              <w:rPr>
                                <w:sz w:val="22"/>
                                <w:szCs w:val="22"/>
                              </w:rPr>
                              <w:t xml:space="preserve">  </w:t>
                            </w:r>
                            <w:r>
                              <w:rPr>
                                <w:sz w:val="22"/>
                                <w:szCs w:val="22"/>
                                <w:vertAlign w:val="superscript"/>
                              </w:rPr>
                              <w:t>†</w:t>
                            </w:r>
                            <w:r>
                              <w:rPr>
                                <w:sz w:val="22"/>
                                <w:szCs w:val="22"/>
                              </w:rPr>
                              <w:t>On some questions, superforecasters’ average prediction was zero, creating a negatively-infinite rounding penalty. We dropped those observations in order to create the estimates shown here.</w:t>
                            </w:r>
                          </w:p>
                          <w:p w:rsidR="00745B5C" w:rsidRPr="00D13862" w:rsidRDefault="00745B5C" w:rsidP="00745B5C"/>
                        </w:txbxContent>
                      </wps:txbx>
                      <wps:bodyPr rot="0" vert="horz" wrap="square" lIns="91440" tIns="45720" rIns="91440" bIns="45720" anchor="t" anchorCtr="0" upright="1">
                        <a:noAutofit/>
                      </wps:bodyPr>
                    </wps:wsp>
                  </a:graphicData>
                </a:graphic>
              </wp:inline>
            </w:drawing>
          </mc:Choice>
          <mc:Fallback>
            <w:pict>
              <v:shapetype w14:anchorId="7DD44B7D" id="_x0000_t202" coordsize="21600,21600" o:spt="202" path="m,l,21600r21600,l21600,xe">
                <v:stroke joinstyle="miter"/>
                <v:path gradientshapeok="t" o:connecttype="rect"/>
              </v:shapetype>
              <v:shape id="Text Box 2" o:spid="_x0000_s1026" type="#_x0000_t202" style="width:478.95pt;height:6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" strokecolor="white [3212]">
                <v:textbox>
                  <w:txbxContent>
                    <w:p w:rsidR="00745B5C" w:rsidRDefault="00745B5C" w:rsidP="00745B5C">
                      <w:pPr>
                        <w:rPr>
                          <w:b/>
                        </w:rPr>
                      </w:pPr>
                      <w:r>
                        <w:rPr>
                          <w:b/>
                        </w:rPr>
                        <w:t>Table A-1. Returns to precision</w:t>
                      </w:r>
                      <w:r w:rsidR="000475EB">
                        <w:rPr>
                          <w:b/>
                        </w:rPr>
                        <w:t xml:space="preserve"> across time horizons</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080"/>
                        <w:gridCol w:w="1350"/>
                        <w:gridCol w:w="1368"/>
                        <w:gridCol w:w="1368"/>
                        <w:gridCol w:w="1368"/>
                        <w:gridCol w:w="1368"/>
                        <w:gridCol w:w="68"/>
                      </w:tblGrid>
                      <w:tr w:rsidR="00745B5C" w:rsidTr="00A76D10">
                        <w:trPr>
                          <w:trHeight w:val="490"/>
                        </w:trPr>
                        <w:tc>
                          <w:tcPr>
                            <w:tcW w:w="1368" w:type="dxa"/>
                            <w:vMerge w:val="restart"/>
                            <w:tcBorders>
                              <w:top w:val="single" w:sz="4" w:space="0" w:color="auto"/>
                            </w:tcBorders>
                            <w:vAlign w:val="center"/>
                          </w:tcPr>
                          <w:p w:rsidR="00745B5C" w:rsidRDefault="00745B5C" w:rsidP="00A76D10">
                            <w:pPr>
                              <w:jc w:val="center"/>
                              <w:rPr>
                                <w:i/>
                              </w:rPr>
                            </w:pPr>
                            <w:r>
                              <w:rPr>
                                <w:i/>
                              </w:rPr>
                              <w:t xml:space="preserve">Reference </w:t>
                            </w:r>
                          </w:p>
                          <w:p w:rsidR="00745B5C" w:rsidRPr="007D56BF" w:rsidRDefault="00745B5C" w:rsidP="00A76D10">
                            <w:pPr>
                              <w:jc w:val="center"/>
                              <w:rPr>
                                <w:i/>
                              </w:rPr>
                            </w:pPr>
                            <w:r>
                              <w:rPr>
                                <w:i/>
                              </w:rPr>
                              <w:t>class</w:t>
                            </w:r>
                          </w:p>
                        </w:tc>
                        <w:tc>
                          <w:tcPr>
                            <w:tcW w:w="1080" w:type="dxa"/>
                            <w:vMerge w:val="restart"/>
                            <w:tcBorders>
                              <w:top w:val="single" w:sz="4" w:space="0" w:color="auto"/>
                            </w:tcBorders>
                            <w:shd w:val="clear" w:color="auto" w:fill="FFFFFF" w:themeFill="background1"/>
                            <w:vAlign w:val="center"/>
                          </w:tcPr>
                          <w:p w:rsidR="00745B5C" w:rsidRDefault="00745B5C" w:rsidP="00A76D10">
                            <w:pPr>
                              <w:ind w:right="-108"/>
                              <w:jc w:val="center"/>
                            </w:pPr>
                          </w:p>
                        </w:tc>
                        <w:tc>
                          <w:tcPr>
                            <w:tcW w:w="1350" w:type="dxa"/>
                            <w:vMerge w:val="restart"/>
                            <w:tcBorders>
                              <w:top w:val="single" w:sz="4" w:space="0" w:color="auto"/>
                            </w:tcBorders>
                            <w:shd w:val="clear" w:color="auto" w:fill="FFFFFF" w:themeFill="background1"/>
                            <w:vAlign w:val="center"/>
                          </w:tcPr>
                          <w:p w:rsidR="00745B5C" w:rsidRPr="000C3D72" w:rsidRDefault="00745B5C" w:rsidP="00A76D10">
                            <w:pPr>
                              <w:jc w:val="center"/>
                              <w:rPr>
                                <w:i/>
                              </w:rPr>
                            </w:pPr>
                            <w:r w:rsidRPr="000C3D72">
                              <w:rPr>
                                <w:i/>
                              </w:rPr>
                              <w:t>Brier Score across all numerical forecasts</w:t>
                            </w:r>
                          </w:p>
                        </w:tc>
                        <w:tc>
                          <w:tcPr>
                            <w:tcW w:w="5540" w:type="dxa"/>
                            <w:gridSpan w:val="5"/>
                            <w:tcBorders>
                              <w:top w:val="single" w:sz="4" w:space="0" w:color="auto"/>
                              <w:left w:val="nil"/>
                            </w:tcBorders>
                            <w:shd w:val="clear" w:color="auto" w:fill="FFFFFF" w:themeFill="background1"/>
                            <w:vAlign w:val="center"/>
                          </w:tcPr>
                          <w:p w:rsidR="00745B5C" w:rsidRPr="00EB3A20" w:rsidRDefault="00745B5C" w:rsidP="00A76D10">
                            <w:pPr>
                              <w:jc w:val="center"/>
                              <w:rPr>
                                <w:i/>
                              </w:rPr>
                            </w:pPr>
                            <w:r>
                              <w:rPr>
                                <w:i/>
                              </w:rPr>
                              <w:t>Rounding Errors</w:t>
                            </w:r>
                          </w:p>
                        </w:tc>
                      </w:tr>
                      <w:tr w:rsidR="00745B5C" w:rsidTr="007B517E">
                        <w:trPr>
                          <w:trHeight w:val="1095"/>
                        </w:trPr>
                        <w:tc>
                          <w:tcPr>
                            <w:tcW w:w="1368" w:type="dxa"/>
                            <w:vMerge/>
                            <w:tcBorders>
                              <w:bottom w:val="single" w:sz="4" w:space="0" w:color="auto"/>
                            </w:tcBorders>
                            <w:vAlign w:val="center"/>
                          </w:tcPr>
                          <w:p w:rsidR="00745B5C" w:rsidRPr="00306B99" w:rsidRDefault="00745B5C" w:rsidP="00A76D10">
                            <w:pPr>
                              <w:jc w:val="center"/>
                            </w:pPr>
                          </w:p>
                        </w:tc>
                        <w:tc>
                          <w:tcPr>
                            <w:tcW w:w="1080" w:type="dxa"/>
                            <w:vMerge/>
                            <w:tcBorders>
                              <w:bottom w:val="single" w:sz="4" w:space="0" w:color="auto"/>
                            </w:tcBorders>
                            <w:shd w:val="clear" w:color="auto" w:fill="FFFFFF" w:themeFill="background1"/>
                            <w:vAlign w:val="center"/>
                          </w:tcPr>
                          <w:p w:rsidR="00745B5C" w:rsidRDefault="00745B5C" w:rsidP="00A76D10">
                            <w:pPr>
                              <w:ind w:right="-108"/>
                              <w:jc w:val="center"/>
                            </w:pPr>
                          </w:p>
                        </w:tc>
                        <w:tc>
                          <w:tcPr>
                            <w:tcW w:w="1350" w:type="dxa"/>
                            <w:vMerge/>
                            <w:tcBorders>
                              <w:bottom w:val="single" w:sz="4" w:space="0" w:color="auto"/>
                            </w:tcBorders>
                            <w:shd w:val="clear" w:color="auto" w:fill="FFFFFF" w:themeFill="background1"/>
                          </w:tcPr>
                          <w:p w:rsidR="00745B5C" w:rsidRDefault="00745B5C" w:rsidP="00A76D10">
                            <w:pPr>
                              <w:jc w:val="center"/>
                            </w:pPr>
                          </w:p>
                        </w:tc>
                        <w:tc>
                          <w:tcPr>
                            <w:tcW w:w="1368" w:type="dxa"/>
                            <w:tcBorders>
                              <w:left w:val="nil"/>
                              <w:bottom w:val="single" w:sz="4" w:space="0" w:color="auto"/>
                            </w:tcBorders>
                            <w:shd w:val="clear" w:color="auto" w:fill="FFFFFF" w:themeFill="background1"/>
                            <w:vAlign w:val="center"/>
                          </w:tcPr>
                          <w:p w:rsidR="00745B5C" w:rsidRDefault="00745B5C" w:rsidP="00A76D10">
                            <w:pPr>
                              <w:jc w:val="center"/>
                            </w:pPr>
                            <w:r>
                              <w:t>7 WEPs,</w:t>
                            </w:r>
                          </w:p>
                          <w:p w:rsidR="00745B5C" w:rsidRPr="00ED613F" w:rsidRDefault="00745B5C" w:rsidP="00A76D10">
                            <w:pPr>
                              <w:jc w:val="center"/>
                              <w:rPr>
                                <w:vertAlign w:val="subscript"/>
                              </w:rPr>
                            </w:pPr>
                            <w:r>
                              <w:t>2015 version</w:t>
                            </w:r>
                          </w:p>
                        </w:tc>
                        <w:tc>
                          <w:tcPr>
                            <w:tcW w:w="1368" w:type="dxa"/>
                            <w:tcBorders>
                              <w:bottom w:val="single" w:sz="4" w:space="0" w:color="auto"/>
                            </w:tcBorders>
                            <w:shd w:val="clear" w:color="auto" w:fill="FFFFFF" w:themeFill="background1"/>
                            <w:vAlign w:val="center"/>
                          </w:tcPr>
                          <w:p w:rsidR="00745B5C" w:rsidRDefault="00745B5C" w:rsidP="00A76D10">
                            <w:pPr>
                              <w:jc w:val="center"/>
                            </w:pPr>
                            <w:r>
                              <w:t>7 WEPs,</w:t>
                            </w:r>
                          </w:p>
                          <w:p w:rsidR="00745B5C" w:rsidRPr="00E02D7A" w:rsidRDefault="00745B5C" w:rsidP="00A76D10">
                            <w:pPr>
                              <w:jc w:val="center"/>
                            </w:pPr>
                            <w:r>
                              <w:t>evenly spaced</w:t>
                            </w:r>
                          </w:p>
                        </w:tc>
                        <w:tc>
                          <w:tcPr>
                            <w:tcW w:w="1368" w:type="dxa"/>
                            <w:tcBorders>
                              <w:bottom w:val="single" w:sz="4" w:space="0" w:color="auto"/>
                            </w:tcBorders>
                            <w:vAlign w:val="center"/>
                          </w:tcPr>
                          <w:p w:rsidR="00745B5C" w:rsidRDefault="00745B5C" w:rsidP="00A76D10">
                            <w:pPr>
                              <w:jc w:val="center"/>
                            </w:pPr>
                            <w:r>
                              <w:t xml:space="preserve">Confidence levels </w:t>
                            </w:r>
                          </w:p>
                          <w:p w:rsidR="00745B5C" w:rsidRPr="0038569E" w:rsidRDefault="00745B5C" w:rsidP="00A76D10">
                            <w:pPr>
                              <w:jc w:val="center"/>
                            </w:pPr>
                            <w:r>
                              <w:t>(3 bins)</w:t>
                            </w:r>
                          </w:p>
                        </w:tc>
                        <w:tc>
                          <w:tcPr>
                            <w:tcW w:w="1436" w:type="dxa"/>
                            <w:gridSpan w:val="2"/>
                            <w:tcBorders>
                              <w:bottom w:val="single" w:sz="4" w:space="0" w:color="auto"/>
                            </w:tcBorders>
                            <w:vAlign w:val="center"/>
                          </w:tcPr>
                          <w:p w:rsidR="00745B5C" w:rsidRDefault="00745B5C" w:rsidP="00A76D10">
                            <w:pPr>
                              <w:jc w:val="center"/>
                            </w:pPr>
                            <w:r>
                              <w:t xml:space="preserve">Estimative verbs </w:t>
                            </w:r>
                          </w:p>
                          <w:p w:rsidR="00745B5C" w:rsidRDefault="00745B5C" w:rsidP="00A76D10">
                            <w:pPr>
                              <w:jc w:val="center"/>
                            </w:pPr>
                            <w:r>
                              <w:t>(2 bins)</w:t>
                            </w:r>
                          </w:p>
                        </w:tc>
                      </w:tr>
                      <w:tr w:rsidR="00745B5C" w:rsidTr="007B517E">
                        <w:trPr>
                          <w:gridAfter w:val="1"/>
                          <w:wAfter w:w="68" w:type="dxa"/>
                          <w:trHeight w:val="392"/>
                        </w:trPr>
                        <w:tc>
                          <w:tcPr>
                            <w:tcW w:w="9270" w:type="dxa"/>
                            <w:gridSpan w:val="7"/>
                            <w:shd w:val="clear" w:color="auto" w:fill="auto"/>
                            <w:vAlign w:val="center"/>
                          </w:tcPr>
                          <w:p w:rsidR="00745B5C" w:rsidRPr="003772D5" w:rsidRDefault="007377BF" w:rsidP="00A76D10">
                            <w:pPr>
                              <w:tabs>
                                <w:tab w:val="decimal" w:pos="471"/>
                              </w:tabs>
                              <w:rPr>
                                <w:i/>
                                <w:sz w:val="12"/>
                                <w:szCs w:val="12"/>
                              </w:rPr>
                            </w:pPr>
                            <w:r>
                              <w:rPr>
                                <w:i/>
                              </w:rPr>
                              <w:t>Lay-Ups</w:t>
                            </w:r>
                          </w:p>
                        </w:tc>
                      </w:tr>
                      <w:tr w:rsidR="00745B5C" w:rsidTr="00A76D10">
                        <w:trPr>
                          <w:gridAfter w:val="1"/>
                          <w:wAfter w:w="68" w:type="dxa"/>
                          <w:trHeight w:val="864"/>
                        </w:trPr>
                        <w:tc>
                          <w:tcPr>
                            <w:tcW w:w="1368" w:type="dxa"/>
                            <w:shd w:val="clear" w:color="auto" w:fill="auto"/>
                            <w:vAlign w:val="center"/>
                          </w:tcPr>
                          <w:p w:rsidR="00745B5C" w:rsidRPr="00C85E12" w:rsidRDefault="00745B5C" w:rsidP="00A76D10">
                            <w:pPr>
                              <w:ind w:left="90"/>
                            </w:pPr>
                            <w:r w:rsidRPr="00D13862">
                              <w:t>All forecasters</w:t>
                            </w:r>
                          </w:p>
                        </w:tc>
                        <w:tc>
                          <w:tcPr>
                            <w:tcW w:w="1080" w:type="dxa"/>
                            <w:shd w:val="clear" w:color="auto" w:fill="auto"/>
                            <w:vAlign w:val="center"/>
                          </w:tcPr>
                          <w:p w:rsidR="00745B5C" w:rsidRPr="00AD547F" w:rsidRDefault="00745B5C" w:rsidP="00A76D10">
                            <w:pPr>
                              <w:ind w:right="-108"/>
                              <w:rPr>
                                <w:i/>
                              </w:rPr>
                            </w:pPr>
                            <w:r w:rsidRPr="00AD547F">
                              <w:rPr>
                                <w:i/>
                              </w:rPr>
                              <w:t>Mean:</w:t>
                            </w:r>
                          </w:p>
                          <w:p w:rsidR="00745B5C" w:rsidRPr="00AD547F" w:rsidRDefault="00745B5C" w:rsidP="00A76D10">
                            <w:pPr>
                              <w:ind w:right="-108"/>
                              <w:rPr>
                                <w:i/>
                              </w:rPr>
                            </w:pPr>
                            <w:r w:rsidRPr="00AD547F">
                              <w:rPr>
                                <w:i/>
                              </w:rPr>
                              <w:t>Median:</w:t>
                            </w:r>
                          </w:p>
                        </w:tc>
                        <w:tc>
                          <w:tcPr>
                            <w:tcW w:w="1350" w:type="dxa"/>
                            <w:shd w:val="clear" w:color="auto" w:fill="auto"/>
                            <w:vAlign w:val="center"/>
                          </w:tcPr>
                          <w:p w:rsidR="00745B5C" w:rsidRDefault="00745B5C" w:rsidP="00A76D10">
                            <w:pPr>
                              <w:tabs>
                                <w:tab w:val="decimal" w:pos="342"/>
                              </w:tabs>
                              <w:jc w:val="center"/>
                            </w:pPr>
                            <w:r>
                              <w:t>0.065</w:t>
                            </w:r>
                          </w:p>
                          <w:p w:rsidR="00745B5C" w:rsidRDefault="00745B5C" w:rsidP="00A76D10">
                            <w:pPr>
                              <w:tabs>
                                <w:tab w:val="decimal" w:pos="342"/>
                              </w:tabs>
                              <w:jc w:val="center"/>
                            </w:pPr>
                            <w:r>
                              <w:t>0.009</w:t>
                            </w:r>
                          </w:p>
                        </w:tc>
                        <w:tc>
                          <w:tcPr>
                            <w:tcW w:w="1368" w:type="dxa"/>
                            <w:tcBorders>
                              <w:left w:val="nil"/>
                            </w:tcBorders>
                            <w:shd w:val="clear" w:color="auto" w:fill="auto"/>
                            <w:vAlign w:val="center"/>
                          </w:tcPr>
                          <w:p w:rsidR="00745B5C" w:rsidRPr="00AD547F" w:rsidRDefault="00745B5C" w:rsidP="00A76D10">
                            <w:pPr>
                              <w:tabs>
                                <w:tab w:val="decimal" w:pos="471"/>
                              </w:tabs>
                              <w:rPr>
                                <w:vertAlign w:val="superscript"/>
                              </w:rPr>
                            </w:pPr>
                            <w:r>
                              <w:t>42.4%</w:t>
                            </w:r>
                            <w:r>
                              <w:rPr>
                                <w:vertAlign w:val="superscript"/>
                              </w:rPr>
                              <w:t>***</w:t>
                            </w:r>
                          </w:p>
                          <w:p w:rsidR="00745B5C" w:rsidRPr="00AD547F" w:rsidRDefault="00745B5C" w:rsidP="00A76D10">
                            <w:pPr>
                              <w:tabs>
                                <w:tab w:val="decimal" w:pos="471"/>
                              </w:tabs>
                              <w:rPr>
                                <w:vertAlign w:val="superscript"/>
                              </w:rPr>
                            </w:pPr>
                            <w:r>
                              <w:t>2.3%</w:t>
                            </w:r>
                            <w:r>
                              <w:rPr>
                                <w:vertAlign w:val="superscript"/>
                              </w:rPr>
                              <w:t>***</w:t>
                            </w:r>
                          </w:p>
                        </w:tc>
                        <w:tc>
                          <w:tcPr>
                            <w:tcW w:w="1368" w:type="dxa"/>
                            <w:shd w:val="clear" w:color="auto" w:fill="auto"/>
                            <w:vAlign w:val="center"/>
                          </w:tcPr>
                          <w:p w:rsidR="00745B5C" w:rsidRPr="00EB5CBF" w:rsidRDefault="00745B5C" w:rsidP="00A76D10">
                            <w:pPr>
                              <w:tabs>
                                <w:tab w:val="decimal" w:pos="471"/>
                              </w:tabs>
                              <w:rPr>
                                <w:vertAlign w:val="superscript"/>
                              </w:rPr>
                            </w:pPr>
                            <w:r>
                              <w:t>436.4%</w:t>
                            </w:r>
                            <w:r>
                              <w:rPr>
                                <w:vertAlign w:val="superscript"/>
                              </w:rPr>
                              <w:t>*</w:t>
                            </w:r>
                          </w:p>
                          <w:p w:rsidR="00745B5C" w:rsidRPr="00B94D34" w:rsidRDefault="00745B5C" w:rsidP="00A76D10">
                            <w:pPr>
                              <w:tabs>
                                <w:tab w:val="decimal" w:pos="471"/>
                              </w:tabs>
                              <w:rPr>
                                <w:vertAlign w:val="superscript"/>
                              </w:rPr>
                            </w:pPr>
                            <w:r w:rsidRPr="00696D6B">
                              <w:t>40.4</w:t>
                            </w:r>
                            <w:r>
                              <w:rPr>
                                <w:vertAlign w:val="superscript"/>
                              </w:rPr>
                              <w:t>***</w:t>
                            </w:r>
                          </w:p>
                        </w:tc>
                        <w:tc>
                          <w:tcPr>
                            <w:tcW w:w="1368" w:type="dxa"/>
                            <w:shd w:val="clear" w:color="auto" w:fill="auto"/>
                            <w:vAlign w:val="center"/>
                          </w:tcPr>
                          <w:p w:rsidR="00745B5C" w:rsidRDefault="00745B5C" w:rsidP="00A76D10">
                            <w:pPr>
                              <w:tabs>
                                <w:tab w:val="decimal" w:pos="471"/>
                              </w:tabs>
                              <w:rPr>
                                <w:vertAlign w:val="superscript"/>
                              </w:rPr>
                            </w:pPr>
                            <w:r>
                              <w:t>2578.1%</w:t>
                            </w:r>
                            <w:r>
                              <w:rPr>
                                <w:vertAlign w:val="superscript"/>
                              </w:rPr>
                              <w:t>**</w:t>
                            </w:r>
                          </w:p>
                          <w:p w:rsidR="00745B5C" w:rsidRPr="00B94D34" w:rsidRDefault="00745B5C" w:rsidP="00A76D10">
                            <w:pPr>
                              <w:tabs>
                                <w:tab w:val="decimal" w:pos="471"/>
                              </w:tabs>
                              <w:rPr>
                                <w:vertAlign w:val="superscript"/>
                              </w:rPr>
                            </w:pPr>
                            <w:r>
                              <w:t>267.9%</w:t>
                            </w:r>
                            <w:r>
                              <w:rPr>
                                <w:vertAlign w:val="superscript"/>
                              </w:rPr>
                              <w:t>***</w:t>
                            </w:r>
                          </w:p>
                        </w:tc>
                        <w:tc>
                          <w:tcPr>
                            <w:tcW w:w="1368" w:type="dxa"/>
                            <w:shd w:val="clear" w:color="auto" w:fill="auto"/>
                            <w:vAlign w:val="center"/>
                          </w:tcPr>
                          <w:p w:rsidR="00745B5C" w:rsidRDefault="00745B5C" w:rsidP="00A76D10">
                            <w:pPr>
                              <w:tabs>
                                <w:tab w:val="decimal" w:pos="471"/>
                              </w:tabs>
                              <w:rPr>
                                <w:vertAlign w:val="superscript"/>
                              </w:rPr>
                            </w:pPr>
                            <w:r>
                              <w:t>5865.1%</w:t>
                            </w:r>
                            <w:r>
                              <w:rPr>
                                <w:vertAlign w:val="superscript"/>
                              </w:rPr>
                              <w:t>***</w:t>
                            </w:r>
                          </w:p>
                          <w:p w:rsidR="00745B5C" w:rsidRPr="00B94D34" w:rsidRDefault="00745B5C" w:rsidP="00A76D10">
                            <w:pPr>
                              <w:tabs>
                                <w:tab w:val="decimal" w:pos="471"/>
                              </w:tabs>
                              <w:rPr>
                                <w:vertAlign w:val="superscript"/>
                              </w:rPr>
                            </w:pPr>
                            <w:r>
                              <w:t>628.3%</w:t>
                            </w:r>
                            <w:r>
                              <w:rPr>
                                <w:vertAlign w:val="superscript"/>
                              </w:rPr>
                              <w:t>***</w:t>
                            </w:r>
                          </w:p>
                        </w:tc>
                      </w:tr>
                      <w:tr w:rsidR="00745B5C" w:rsidTr="00A76D10">
                        <w:trPr>
                          <w:gridAfter w:val="1"/>
                          <w:wAfter w:w="68" w:type="dxa"/>
                          <w:trHeight w:val="864"/>
                        </w:trPr>
                        <w:tc>
                          <w:tcPr>
                            <w:tcW w:w="1368" w:type="dxa"/>
                            <w:shd w:val="clear" w:color="auto" w:fill="auto"/>
                            <w:vAlign w:val="center"/>
                          </w:tcPr>
                          <w:p w:rsidR="00745B5C" w:rsidRPr="00A32E8E" w:rsidRDefault="00745B5C" w:rsidP="00A76D10">
                            <w:pPr>
                              <w:ind w:left="90"/>
                            </w:pPr>
                            <w:r>
                              <w:t>Super-forecasters</w:t>
                            </w:r>
                          </w:p>
                        </w:tc>
                        <w:tc>
                          <w:tcPr>
                            <w:tcW w:w="1080" w:type="dxa"/>
                            <w:shd w:val="clear" w:color="auto" w:fill="auto"/>
                            <w:vAlign w:val="center"/>
                          </w:tcPr>
                          <w:p w:rsidR="00745B5C" w:rsidRPr="00AD547F" w:rsidRDefault="00745B5C" w:rsidP="00A76D10">
                            <w:pPr>
                              <w:ind w:right="-108"/>
                              <w:rPr>
                                <w:i/>
                              </w:rPr>
                            </w:pPr>
                            <w:r w:rsidRPr="00AD547F">
                              <w:rPr>
                                <w:i/>
                              </w:rPr>
                              <w:t>Mean:</w:t>
                            </w:r>
                          </w:p>
                          <w:p w:rsidR="00745B5C" w:rsidRPr="00AD547F" w:rsidRDefault="00745B5C" w:rsidP="00A76D10">
                            <w:pPr>
                              <w:ind w:right="-108"/>
                            </w:pPr>
                            <w:r w:rsidRPr="00AD547F">
                              <w:rPr>
                                <w:i/>
                              </w:rPr>
                              <w:t>Median:</w:t>
                            </w:r>
                          </w:p>
                        </w:tc>
                        <w:tc>
                          <w:tcPr>
                            <w:tcW w:w="1350" w:type="dxa"/>
                            <w:shd w:val="clear" w:color="auto" w:fill="auto"/>
                            <w:vAlign w:val="center"/>
                          </w:tcPr>
                          <w:p w:rsidR="00745B5C" w:rsidRDefault="00745B5C" w:rsidP="00A76D10">
                            <w:pPr>
                              <w:tabs>
                                <w:tab w:val="decimal" w:pos="342"/>
                              </w:tabs>
                              <w:jc w:val="center"/>
                            </w:pPr>
                            <w:r>
                              <w:t>0.046</w:t>
                            </w:r>
                            <w:r>
                              <w:rPr>
                                <w:vertAlign w:val="superscript"/>
                              </w:rPr>
                              <w:t>†</w:t>
                            </w:r>
                          </w:p>
                          <w:p w:rsidR="00745B5C" w:rsidRPr="00696D6B" w:rsidRDefault="00745B5C" w:rsidP="00A76D10">
                            <w:pPr>
                              <w:tabs>
                                <w:tab w:val="decimal" w:pos="342"/>
                              </w:tabs>
                              <w:jc w:val="center"/>
                              <w:rPr>
                                <w:vertAlign w:val="superscript"/>
                              </w:rPr>
                            </w:pPr>
                            <w:r>
                              <w:t>2.4e</w:t>
                            </w:r>
                            <w:r>
                              <w:rPr>
                                <w:vertAlign w:val="superscript"/>
                              </w:rPr>
                              <w:t>-4</w:t>
                            </w:r>
                          </w:p>
                        </w:tc>
                        <w:tc>
                          <w:tcPr>
                            <w:tcW w:w="1368" w:type="dxa"/>
                            <w:tcBorders>
                              <w:left w:val="nil"/>
                            </w:tcBorders>
                            <w:shd w:val="clear" w:color="auto" w:fill="auto"/>
                            <w:vAlign w:val="center"/>
                          </w:tcPr>
                          <w:p w:rsidR="00745B5C" w:rsidRPr="00507541" w:rsidRDefault="00745B5C" w:rsidP="00A76D10">
                            <w:pPr>
                              <w:tabs>
                                <w:tab w:val="decimal" w:pos="471"/>
                              </w:tabs>
                            </w:pPr>
                            <w:r w:rsidRPr="00507541">
                              <w:t>869.4%</w:t>
                            </w:r>
                          </w:p>
                          <w:p w:rsidR="00745B5C" w:rsidRPr="00AD547F" w:rsidRDefault="00745B5C" w:rsidP="00A76D10">
                            <w:pPr>
                              <w:tabs>
                                <w:tab w:val="decimal" w:pos="471"/>
                              </w:tabs>
                              <w:rPr>
                                <w:vertAlign w:val="superscript"/>
                              </w:rPr>
                            </w:pPr>
                            <w:r>
                              <w:t>278.9</w:t>
                            </w:r>
                            <w:r>
                              <w:rPr>
                                <w:vertAlign w:val="superscript"/>
                              </w:rPr>
                              <w:t>***</w:t>
                            </w:r>
                          </w:p>
                        </w:tc>
                        <w:tc>
                          <w:tcPr>
                            <w:tcW w:w="1368" w:type="dxa"/>
                            <w:shd w:val="clear" w:color="auto" w:fill="auto"/>
                            <w:vAlign w:val="center"/>
                          </w:tcPr>
                          <w:p w:rsidR="00745B5C" w:rsidRPr="00507541" w:rsidRDefault="00745B5C" w:rsidP="00A76D10">
                            <w:pPr>
                              <w:tabs>
                                <w:tab w:val="decimal" w:pos="471"/>
                              </w:tabs>
                            </w:pPr>
                            <w:r>
                              <w:t>5334.5%</w:t>
                            </w:r>
                          </w:p>
                          <w:p w:rsidR="00745B5C" w:rsidRPr="00B94D34" w:rsidRDefault="00745B5C" w:rsidP="00A76D10">
                            <w:pPr>
                              <w:tabs>
                                <w:tab w:val="decimal" w:pos="471"/>
                              </w:tabs>
                              <w:rPr>
                                <w:vertAlign w:val="superscript"/>
                              </w:rPr>
                            </w:pPr>
                            <w:r>
                              <w:t>2047.9%</w:t>
                            </w:r>
                            <w:r>
                              <w:rPr>
                                <w:vertAlign w:val="superscript"/>
                              </w:rPr>
                              <w:t>***</w:t>
                            </w:r>
                          </w:p>
                        </w:tc>
                        <w:tc>
                          <w:tcPr>
                            <w:tcW w:w="1368" w:type="dxa"/>
                            <w:shd w:val="clear" w:color="auto" w:fill="auto"/>
                            <w:vAlign w:val="center"/>
                          </w:tcPr>
                          <w:p w:rsidR="00745B5C" w:rsidRDefault="00745B5C" w:rsidP="00A76D10">
                            <w:pPr>
                              <w:tabs>
                                <w:tab w:val="decimal" w:pos="471"/>
                              </w:tabs>
                              <w:rPr>
                                <w:vertAlign w:val="superscript"/>
                              </w:rPr>
                            </w:pPr>
                            <w:r w:rsidRPr="00507541">
                              <w:t>2.9e</w:t>
                            </w:r>
                            <w:r>
                              <w:rPr>
                                <w:vertAlign w:val="superscript"/>
                              </w:rPr>
                              <w:t>4</w:t>
                            </w:r>
                            <w:r w:rsidRPr="00507541">
                              <w:t>%</w:t>
                            </w:r>
                            <w:r>
                              <w:rPr>
                                <w:vertAlign w:val="superscript"/>
                              </w:rPr>
                              <w:t>***</w:t>
                            </w:r>
                          </w:p>
                          <w:p w:rsidR="00745B5C" w:rsidRPr="00B94D34" w:rsidRDefault="00745B5C" w:rsidP="00A76D10">
                            <w:pPr>
                              <w:tabs>
                                <w:tab w:val="decimal" w:pos="471"/>
                              </w:tabs>
                              <w:rPr>
                                <w:vertAlign w:val="superscript"/>
                              </w:rPr>
                            </w:pPr>
                            <w:r>
                              <w:t>1.2e</w:t>
                            </w:r>
                            <w:r>
                              <w:rPr>
                                <w:vertAlign w:val="superscript"/>
                              </w:rPr>
                              <w:t>4</w:t>
                            </w:r>
                            <w:r>
                              <w:t>%</w:t>
                            </w:r>
                            <w:r>
                              <w:rPr>
                                <w:vertAlign w:val="superscript"/>
                              </w:rPr>
                              <w:t>***</w:t>
                            </w:r>
                          </w:p>
                        </w:tc>
                        <w:tc>
                          <w:tcPr>
                            <w:tcW w:w="1368" w:type="dxa"/>
                            <w:shd w:val="clear" w:color="auto" w:fill="auto"/>
                            <w:vAlign w:val="center"/>
                          </w:tcPr>
                          <w:p w:rsidR="00745B5C" w:rsidRDefault="00745B5C" w:rsidP="00A76D10">
                            <w:pPr>
                              <w:tabs>
                                <w:tab w:val="decimal" w:pos="471"/>
                              </w:tabs>
                              <w:rPr>
                                <w:vertAlign w:val="superscript"/>
                              </w:rPr>
                            </w:pPr>
                            <w:r>
                              <w:t>6.6</w:t>
                            </w:r>
                            <w:r w:rsidRPr="00507541">
                              <w:t>e</w:t>
                            </w:r>
                            <w:r>
                              <w:rPr>
                                <w:vertAlign w:val="superscript"/>
                              </w:rPr>
                              <w:t>4</w:t>
                            </w:r>
                            <w:r>
                              <w:t>%</w:t>
                            </w:r>
                            <w:r>
                              <w:rPr>
                                <w:vertAlign w:val="superscript"/>
                              </w:rPr>
                              <w:t>***</w:t>
                            </w:r>
                          </w:p>
                          <w:p w:rsidR="00745B5C" w:rsidRPr="00B94D34" w:rsidRDefault="00745B5C" w:rsidP="00A76D10">
                            <w:pPr>
                              <w:tabs>
                                <w:tab w:val="decimal" w:pos="471"/>
                              </w:tabs>
                              <w:rPr>
                                <w:vertAlign w:val="superscript"/>
                              </w:rPr>
                            </w:pPr>
                            <w:r>
                              <w:t>2.6e</w:t>
                            </w:r>
                            <w:r>
                              <w:rPr>
                                <w:vertAlign w:val="superscript"/>
                              </w:rPr>
                              <w:t>4</w:t>
                            </w:r>
                            <w:r>
                              <w:t>%</w:t>
                            </w:r>
                            <w:r>
                              <w:rPr>
                                <w:vertAlign w:val="superscript"/>
                              </w:rPr>
                              <w:t>***</w:t>
                            </w:r>
                          </w:p>
                        </w:tc>
                      </w:tr>
                      <w:tr w:rsidR="00745B5C" w:rsidTr="007B517E">
                        <w:trPr>
                          <w:gridAfter w:val="1"/>
                          <w:wAfter w:w="68" w:type="dxa"/>
                          <w:trHeight w:val="618"/>
                        </w:trPr>
                        <w:tc>
                          <w:tcPr>
                            <w:tcW w:w="9270" w:type="dxa"/>
                            <w:gridSpan w:val="7"/>
                            <w:vAlign w:val="center"/>
                          </w:tcPr>
                          <w:p w:rsidR="00745B5C" w:rsidRPr="003772D5" w:rsidRDefault="00745B5C" w:rsidP="00A76D10">
                            <w:pPr>
                              <w:tabs>
                                <w:tab w:val="left" w:pos="1139"/>
                              </w:tabs>
                              <w:ind w:right="-108"/>
                              <w:rPr>
                                <w:i/>
                                <w:sz w:val="12"/>
                                <w:szCs w:val="12"/>
                              </w:rPr>
                            </w:pPr>
                            <w:r>
                              <w:rPr>
                                <w:i/>
                              </w:rPr>
                              <w:t>Period I forecasts: forecasts registered up to 36 days prior to question closing</w:t>
                            </w:r>
                          </w:p>
                        </w:tc>
                      </w:tr>
                      <w:tr w:rsidR="00745B5C" w:rsidTr="00A76D10">
                        <w:trPr>
                          <w:gridAfter w:val="1"/>
                          <w:wAfter w:w="68" w:type="dxa"/>
                          <w:trHeight w:val="864"/>
                        </w:trPr>
                        <w:tc>
                          <w:tcPr>
                            <w:tcW w:w="1368" w:type="dxa"/>
                            <w:vAlign w:val="center"/>
                          </w:tcPr>
                          <w:p w:rsidR="00745B5C" w:rsidRPr="00C85E12" w:rsidRDefault="00745B5C" w:rsidP="00A76D10">
                            <w:pPr>
                              <w:ind w:left="90"/>
                            </w:pPr>
                            <w:r w:rsidRPr="00D13862">
                              <w:t>All 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rPr>
                                <w:i/>
                              </w:rPr>
                            </w:pPr>
                            <w:r w:rsidRPr="00AD547F">
                              <w:rPr>
                                <w:i/>
                              </w:rPr>
                              <w:t>Median:</w:t>
                            </w:r>
                          </w:p>
                        </w:tc>
                        <w:tc>
                          <w:tcPr>
                            <w:tcW w:w="1350" w:type="dxa"/>
                            <w:shd w:val="clear" w:color="auto" w:fill="FFFFFF" w:themeFill="background1"/>
                            <w:vAlign w:val="center"/>
                          </w:tcPr>
                          <w:p w:rsidR="00745B5C" w:rsidRDefault="00745B5C" w:rsidP="00A76D10">
                            <w:pPr>
                              <w:tabs>
                                <w:tab w:val="decimal" w:pos="342"/>
                              </w:tabs>
                              <w:jc w:val="center"/>
                            </w:pPr>
                            <w:r>
                              <w:t>0.114</w:t>
                            </w:r>
                          </w:p>
                          <w:p w:rsidR="00745B5C" w:rsidRDefault="00745B5C" w:rsidP="00A76D10">
                            <w:pPr>
                              <w:tabs>
                                <w:tab w:val="decimal" w:pos="342"/>
                              </w:tabs>
                              <w:jc w:val="center"/>
                            </w:pPr>
                            <w:r>
                              <w:t>0.064</w:t>
                            </w:r>
                          </w:p>
                        </w:tc>
                        <w:tc>
                          <w:tcPr>
                            <w:tcW w:w="1368" w:type="dxa"/>
                            <w:tcBorders>
                              <w:left w:val="nil"/>
                            </w:tcBorders>
                            <w:shd w:val="clear" w:color="auto" w:fill="FFFFFF" w:themeFill="background1"/>
                            <w:vAlign w:val="center"/>
                          </w:tcPr>
                          <w:p w:rsidR="00745B5C" w:rsidRDefault="00745B5C" w:rsidP="00A76D10">
                            <w:pPr>
                              <w:tabs>
                                <w:tab w:val="decimal" w:pos="471"/>
                              </w:tabs>
                            </w:pPr>
                            <w:r>
                              <w:t>1.6%</w:t>
                            </w:r>
                            <w:r>
                              <w:rPr>
                                <w:vertAlign w:val="superscript"/>
                              </w:rPr>
                              <w:t>***</w:t>
                            </w:r>
                          </w:p>
                          <w:p w:rsidR="00745B5C" w:rsidRPr="00AD547F" w:rsidRDefault="00745B5C" w:rsidP="00A76D10">
                            <w:pPr>
                              <w:tabs>
                                <w:tab w:val="decimal" w:pos="471"/>
                              </w:tabs>
                              <w:rPr>
                                <w:vertAlign w:val="superscript"/>
                              </w:rPr>
                            </w:pPr>
                            <w:r>
                              <w:t>1.2%</w:t>
                            </w:r>
                            <w:r>
                              <w:rPr>
                                <w:vertAlign w:val="superscript"/>
                              </w:rPr>
                              <w:t>***</w:t>
                            </w:r>
                          </w:p>
                        </w:tc>
                        <w:tc>
                          <w:tcPr>
                            <w:tcW w:w="1368" w:type="dxa"/>
                            <w:shd w:val="clear" w:color="auto" w:fill="FFFFFF" w:themeFill="background1"/>
                            <w:vAlign w:val="center"/>
                          </w:tcPr>
                          <w:p w:rsidR="00745B5C" w:rsidRPr="008F5162" w:rsidRDefault="00745B5C" w:rsidP="00A76D10">
                            <w:pPr>
                              <w:tabs>
                                <w:tab w:val="decimal" w:pos="471"/>
                              </w:tabs>
                              <w:rPr>
                                <w:vertAlign w:val="superscript"/>
                              </w:rPr>
                            </w:pPr>
                            <w:r>
                              <w:t>8.1%</w:t>
                            </w:r>
                            <w:r>
                              <w:rPr>
                                <w:vertAlign w:val="superscript"/>
                              </w:rPr>
                              <w:t>***</w:t>
                            </w:r>
                          </w:p>
                          <w:p w:rsidR="00745B5C" w:rsidRPr="0002340F" w:rsidRDefault="00745B5C" w:rsidP="00A76D10">
                            <w:pPr>
                              <w:tabs>
                                <w:tab w:val="decimal" w:pos="471"/>
                              </w:tabs>
                              <w:rPr>
                                <w:vertAlign w:val="superscript"/>
                              </w:rPr>
                            </w:pPr>
                            <w:r>
                              <w:t>4.3%</w:t>
                            </w:r>
                            <w:r>
                              <w:rPr>
                                <w:vertAlign w:val="superscript"/>
                              </w:rPr>
                              <w:t>*</w:t>
                            </w:r>
                          </w:p>
                        </w:tc>
                        <w:tc>
                          <w:tcPr>
                            <w:tcW w:w="1368" w:type="dxa"/>
                            <w:vAlign w:val="center"/>
                          </w:tcPr>
                          <w:p w:rsidR="00745B5C" w:rsidRDefault="00745B5C" w:rsidP="00A76D10">
                            <w:pPr>
                              <w:tabs>
                                <w:tab w:val="decimal" w:pos="471"/>
                              </w:tabs>
                              <w:rPr>
                                <w:vertAlign w:val="superscript"/>
                              </w:rPr>
                            </w:pPr>
                            <w:r>
                              <w:t>45.7%</w:t>
                            </w:r>
                            <w:r>
                              <w:rPr>
                                <w:vertAlign w:val="superscript"/>
                              </w:rPr>
                              <w:t>***</w:t>
                            </w:r>
                          </w:p>
                          <w:p w:rsidR="00745B5C" w:rsidRPr="00C11C85" w:rsidRDefault="00745B5C" w:rsidP="00A76D10">
                            <w:pPr>
                              <w:tabs>
                                <w:tab w:val="decimal" w:pos="471"/>
                              </w:tabs>
                            </w:pPr>
                            <w:r>
                              <w:t>15.8%</w:t>
                            </w:r>
                            <w:r>
                              <w:rPr>
                                <w:vertAlign w:val="superscript"/>
                              </w:rPr>
                              <w:t>***</w:t>
                            </w:r>
                          </w:p>
                        </w:tc>
                        <w:tc>
                          <w:tcPr>
                            <w:tcW w:w="1368" w:type="dxa"/>
                            <w:vAlign w:val="center"/>
                          </w:tcPr>
                          <w:p w:rsidR="00745B5C" w:rsidRDefault="00745B5C" w:rsidP="00A76D10">
                            <w:pPr>
                              <w:tabs>
                                <w:tab w:val="decimal" w:pos="471"/>
                              </w:tabs>
                              <w:rPr>
                                <w:vertAlign w:val="superscript"/>
                              </w:rPr>
                            </w:pPr>
                            <w:r>
                              <w:t>118.0%</w:t>
                            </w:r>
                            <w:r>
                              <w:rPr>
                                <w:vertAlign w:val="superscript"/>
                              </w:rPr>
                              <w:t>***</w:t>
                            </w:r>
                          </w:p>
                          <w:p w:rsidR="00745B5C" w:rsidRPr="00F53DD2" w:rsidRDefault="00745B5C" w:rsidP="00A76D10">
                            <w:pPr>
                              <w:tabs>
                                <w:tab w:val="decimal" w:pos="471"/>
                              </w:tabs>
                            </w:pPr>
                            <w:r>
                              <w:t>46.9%</w:t>
                            </w:r>
                            <w:r>
                              <w:rPr>
                                <w:vertAlign w:val="superscript"/>
                              </w:rPr>
                              <w:t>***</w:t>
                            </w:r>
                          </w:p>
                        </w:tc>
                      </w:tr>
                      <w:tr w:rsidR="00745B5C" w:rsidTr="00A76D10">
                        <w:trPr>
                          <w:gridAfter w:val="1"/>
                          <w:wAfter w:w="68" w:type="dxa"/>
                          <w:trHeight w:val="864"/>
                        </w:trPr>
                        <w:tc>
                          <w:tcPr>
                            <w:tcW w:w="1368" w:type="dxa"/>
                            <w:vAlign w:val="center"/>
                          </w:tcPr>
                          <w:p w:rsidR="00745B5C" w:rsidRPr="00A32E8E" w:rsidRDefault="00745B5C" w:rsidP="00A76D10">
                            <w:pPr>
                              <w:ind w:left="90"/>
                            </w:pPr>
                            <w:r>
                              <w:t>Super-forecasters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pPr>
                            <w:r w:rsidRPr="00AD547F">
                              <w:rPr>
                                <w:i/>
                              </w:rPr>
                              <w:t>Median:</w:t>
                            </w:r>
                          </w:p>
                        </w:tc>
                        <w:tc>
                          <w:tcPr>
                            <w:tcW w:w="1350" w:type="dxa"/>
                            <w:shd w:val="clear" w:color="auto" w:fill="FFFFFF" w:themeFill="background1"/>
                            <w:vAlign w:val="center"/>
                          </w:tcPr>
                          <w:p w:rsidR="00745B5C" w:rsidRPr="00696D6B" w:rsidRDefault="00745B5C" w:rsidP="00A76D10">
                            <w:pPr>
                              <w:tabs>
                                <w:tab w:val="decimal" w:pos="342"/>
                              </w:tabs>
                              <w:jc w:val="center"/>
                              <w:rPr>
                                <w:vertAlign w:val="superscript"/>
                              </w:rPr>
                            </w:pPr>
                            <w:r>
                              <w:t>0.073</w:t>
                            </w:r>
                            <w:r>
                              <w:rPr>
                                <w:vertAlign w:val="superscript"/>
                              </w:rPr>
                              <w:t>†</w:t>
                            </w:r>
                          </w:p>
                          <w:p w:rsidR="00745B5C" w:rsidRDefault="00745B5C" w:rsidP="00A76D10">
                            <w:pPr>
                              <w:tabs>
                                <w:tab w:val="decimal" w:pos="342"/>
                              </w:tabs>
                              <w:jc w:val="center"/>
                            </w:pPr>
                            <w:r>
                              <w:t>0.006</w:t>
                            </w:r>
                          </w:p>
                        </w:tc>
                        <w:tc>
                          <w:tcPr>
                            <w:tcW w:w="1368" w:type="dxa"/>
                            <w:tcBorders>
                              <w:left w:val="nil"/>
                            </w:tcBorders>
                            <w:shd w:val="clear" w:color="auto" w:fill="FFFFFF" w:themeFill="background1"/>
                            <w:vAlign w:val="center"/>
                          </w:tcPr>
                          <w:p w:rsidR="00745B5C" w:rsidRDefault="00745B5C" w:rsidP="00A76D10">
                            <w:pPr>
                              <w:tabs>
                                <w:tab w:val="decimal" w:pos="471"/>
                              </w:tabs>
                              <w:rPr>
                                <w:vertAlign w:val="superscript"/>
                              </w:rPr>
                            </w:pPr>
                            <w:r w:rsidRPr="00507541">
                              <w:t>4.41</w:t>
                            </w:r>
                            <w:r>
                              <w:t>%</w:t>
                            </w:r>
                            <w:r>
                              <w:rPr>
                                <w:vertAlign w:val="superscript"/>
                              </w:rPr>
                              <w:t>***</w:t>
                            </w:r>
                          </w:p>
                          <w:p w:rsidR="00745B5C" w:rsidRPr="00AD547F" w:rsidRDefault="00745B5C" w:rsidP="00A76D10">
                            <w:pPr>
                              <w:tabs>
                                <w:tab w:val="decimal" w:pos="471"/>
                              </w:tabs>
                              <w:rPr>
                                <w:vertAlign w:val="superscript"/>
                              </w:rPr>
                            </w:pPr>
                            <w:r>
                              <w:t>6.9%</w:t>
                            </w:r>
                            <w:r>
                              <w:rPr>
                                <w:vertAlign w:val="superscript"/>
                              </w:rPr>
                              <w:t>**</w:t>
                            </w:r>
                          </w:p>
                        </w:tc>
                        <w:tc>
                          <w:tcPr>
                            <w:tcW w:w="1368" w:type="dxa"/>
                            <w:shd w:val="clear" w:color="auto" w:fill="FFFFFF" w:themeFill="background1"/>
                            <w:vAlign w:val="center"/>
                          </w:tcPr>
                          <w:p w:rsidR="00745B5C" w:rsidRDefault="00745B5C" w:rsidP="00A76D10">
                            <w:pPr>
                              <w:tabs>
                                <w:tab w:val="decimal" w:pos="471"/>
                              </w:tabs>
                            </w:pPr>
                            <w:r>
                              <w:t>29.1%</w:t>
                            </w:r>
                            <w:r>
                              <w:rPr>
                                <w:vertAlign w:val="superscript"/>
                              </w:rPr>
                              <w:t>***</w:t>
                            </w:r>
                          </w:p>
                          <w:p w:rsidR="00745B5C" w:rsidRPr="00C11C85" w:rsidRDefault="00745B5C" w:rsidP="00A76D10">
                            <w:pPr>
                              <w:tabs>
                                <w:tab w:val="decimal" w:pos="471"/>
                              </w:tabs>
                              <w:rPr>
                                <w:vertAlign w:val="superscript"/>
                              </w:rPr>
                            </w:pPr>
                            <w:r>
                              <w:t>68.5%</w:t>
                            </w:r>
                            <w:r>
                              <w:rPr>
                                <w:vertAlign w:val="superscript"/>
                              </w:rPr>
                              <w:t>***</w:t>
                            </w:r>
                          </w:p>
                        </w:tc>
                        <w:tc>
                          <w:tcPr>
                            <w:tcW w:w="1368" w:type="dxa"/>
                            <w:vAlign w:val="center"/>
                          </w:tcPr>
                          <w:p w:rsidR="00745B5C" w:rsidRDefault="00745B5C" w:rsidP="00A76D10">
                            <w:pPr>
                              <w:tabs>
                                <w:tab w:val="decimal" w:pos="471"/>
                              </w:tabs>
                            </w:pPr>
                            <w:r w:rsidRPr="00507541">
                              <w:t>174.0%</w:t>
                            </w:r>
                            <w:r>
                              <w:rPr>
                                <w:vertAlign w:val="superscript"/>
                              </w:rPr>
                              <w:t>***</w:t>
                            </w:r>
                          </w:p>
                          <w:p w:rsidR="00745B5C" w:rsidRPr="00D13862" w:rsidRDefault="00745B5C" w:rsidP="00A76D10">
                            <w:pPr>
                              <w:tabs>
                                <w:tab w:val="decimal" w:pos="471"/>
                              </w:tabs>
                            </w:pPr>
                            <w:r>
                              <w:t>432.2%</w:t>
                            </w:r>
                            <w:r>
                              <w:rPr>
                                <w:vertAlign w:val="superscript"/>
                              </w:rPr>
                              <w:t>***</w:t>
                            </w:r>
                          </w:p>
                        </w:tc>
                        <w:tc>
                          <w:tcPr>
                            <w:tcW w:w="1368" w:type="dxa"/>
                            <w:vAlign w:val="center"/>
                          </w:tcPr>
                          <w:p w:rsidR="00745B5C" w:rsidRDefault="00745B5C" w:rsidP="00A76D10">
                            <w:pPr>
                              <w:tabs>
                                <w:tab w:val="decimal" w:pos="471"/>
                              </w:tabs>
                            </w:pPr>
                            <w:r>
                              <w:t>422.7%</w:t>
                            </w:r>
                            <w:r>
                              <w:rPr>
                                <w:vertAlign w:val="superscript"/>
                              </w:rPr>
                              <w:t>***</w:t>
                            </w:r>
                          </w:p>
                          <w:p w:rsidR="00745B5C" w:rsidRPr="00C11C85" w:rsidRDefault="00745B5C" w:rsidP="00A76D10">
                            <w:pPr>
                              <w:tabs>
                                <w:tab w:val="decimal" w:pos="471"/>
                              </w:tabs>
                              <w:rPr>
                                <w:vertAlign w:val="superscript"/>
                              </w:rPr>
                            </w:pPr>
                            <w:r>
                              <w:t>1032.5%</w:t>
                            </w:r>
                            <w:r>
                              <w:rPr>
                                <w:vertAlign w:val="superscript"/>
                              </w:rPr>
                              <w:t>***</w:t>
                            </w:r>
                          </w:p>
                        </w:tc>
                      </w:tr>
                      <w:tr w:rsidR="00745B5C" w:rsidTr="007B517E">
                        <w:trPr>
                          <w:gridAfter w:val="1"/>
                          <w:wAfter w:w="68" w:type="dxa"/>
                          <w:trHeight w:val="627"/>
                        </w:trPr>
                        <w:tc>
                          <w:tcPr>
                            <w:tcW w:w="9270" w:type="dxa"/>
                            <w:gridSpan w:val="7"/>
                            <w:vAlign w:val="center"/>
                          </w:tcPr>
                          <w:p w:rsidR="00745B5C" w:rsidRDefault="00745B5C" w:rsidP="00A76D10">
                            <w:pPr>
                              <w:tabs>
                                <w:tab w:val="decimal" w:pos="471"/>
                              </w:tabs>
                            </w:pPr>
                            <w:r>
                              <w:rPr>
                                <w:i/>
                              </w:rPr>
                              <w:t>Period II forecasts: forecasts registered between 37-96 days prior to question closing</w:t>
                            </w:r>
                          </w:p>
                        </w:tc>
                      </w:tr>
                      <w:tr w:rsidR="00745B5C" w:rsidTr="00A76D10">
                        <w:trPr>
                          <w:gridAfter w:val="1"/>
                          <w:wAfter w:w="68" w:type="dxa"/>
                          <w:trHeight w:val="864"/>
                        </w:trPr>
                        <w:tc>
                          <w:tcPr>
                            <w:tcW w:w="1368" w:type="dxa"/>
                            <w:vAlign w:val="center"/>
                          </w:tcPr>
                          <w:p w:rsidR="00745B5C" w:rsidRPr="00C85E12" w:rsidRDefault="00745B5C" w:rsidP="00A76D10">
                            <w:pPr>
                              <w:ind w:left="90"/>
                            </w:pPr>
                            <w:r w:rsidRPr="00D13862">
                              <w:t>All 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rPr>
                                <w:i/>
                              </w:rPr>
                            </w:pPr>
                            <w:r w:rsidRPr="00AD547F">
                              <w:rPr>
                                <w:i/>
                              </w:rPr>
                              <w:t>Median:</w:t>
                            </w:r>
                          </w:p>
                        </w:tc>
                        <w:tc>
                          <w:tcPr>
                            <w:tcW w:w="1350" w:type="dxa"/>
                            <w:shd w:val="clear" w:color="auto" w:fill="FFFFFF" w:themeFill="background1"/>
                            <w:vAlign w:val="center"/>
                          </w:tcPr>
                          <w:p w:rsidR="00745B5C" w:rsidRDefault="00745B5C" w:rsidP="00A76D10">
                            <w:pPr>
                              <w:tabs>
                                <w:tab w:val="decimal" w:pos="342"/>
                              </w:tabs>
                              <w:jc w:val="center"/>
                            </w:pPr>
                            <w:r>
                              <w:t>0.148</w:t>
                            </w:r>
                          </w:p>
                          <w:p w:rsidR="00745B5C" w:rsidRDefault="00745B5C" w:rsidP="00A76D10">
                            <w:pPr>
                              <w:tabs>
                                <w:tab w:val="decimal" w:pos="342"/>
                              </w:tabs>
                              <w:jc w:val="center"/>
                            </w:pPr>
                            <w:r>
                              <w:t>0.104</w:t>
                            </w:r>
                          </w:p>
                        </w:tc>
                        <w:tc>
                          <w:tcPr>
                            <w:tcW w:w="1368" w:type="dxa"/>
                            <w:tcBorders>
                              <w:left w:val="nil"/>
                            </w:tcBorders>
                            <w:shd w:val="clear" w:color="auto" w:fill="FFFFFF" w:themeFill="background1"/>
                            <w:vAlign w:val="center"/>
                          </w:tcPr>
                          <w:p w:rsidR="00745B5C" w:rsidRDefault="00745B5C" w:rsidP="00A76D10">
                            <w:pPr>
                              <w:tabs>
                                <w:tab w:val="decimal" w:pos="471"/>
                              </w:tabs>
                            </w:pPr>
                            <w:r>
                              <w:t>1.0%</w:t>
                            </w:r>
                            <w:r>
                              <w:rPr>
                                <w:vertAlign w:val="superscript"/>
                              </w:rPr>
                              <w:t>***</w:t>
                            </w:r>
                          </w:p>
                          <w:p w:rsidR="00745B5C" w:rsidRPr="00AD547F" w:rsidRDefault="00745B5C" w:rsidP="00A76D10">
                            <w:pPr>
                              <w:tabs>
                                <w:tab w:val="decimal" w:pos="471"/>
                              </w:tabs>
                              <w:rPr>
                                <w:vertAlign w:val="superscript"/>
                              </w:rPr>
                            </w:pPr>
                            <w:r>
                              <w:t>1.0%</w:t>
                            </w:r>
                            <w:r>
                              <w:rPr>
                                <w:vertAlign w:val="superscript"/>
                              </w:rPr>
                              <w:t>***</w:t>
                            </w:r>
                          </w:p>
                        </w:tc>
                        <w:tc>
                          <w:tcPr>
                            <w:tcW w:w="1368" w:type="dxa"/>
                            <w:shd w:val="clear" w:color="auto" w:fill="FFFFFF" w:themeFill="background1"/>
                            <w:vAlign w:val="center"/>
                          </w:tcPr>
                          <w:p w:rsidR="00745B5C" w:rsidRDefault="00745B5C" w:rsidP="00A76D10">
                            <w:pPr>
                              <w:tabs>
                                <w:tab w:val="decimal" w:pos="471"/>
                              </w:tabs>
                            </w:pPr>
                            <w:r>
                              <w:t>3.8%</w:t>
                            </w:r>
                          </w:p>
                          <w:p w:rsidR="00745B5C" w:rsidRPr="0002340F" w:rsidRDefault="00745B5C" w:rsidP="00A76D10">
                            <w:pPr>
                              <w:tabs>
                                <w:tab w:val="decimal" w:pos="471"/>
                              </w:tabs>
                              <w:rPr>
                                <w:vertAlign w:val="superscript"/>
                              </w:rPr>
                            </w:pPr>
                            <w:r>
                              <w:t>1.9%</w:t>
                            </w:r>
                            <w:r>
                              <w:rPr>
                                <w:vertAlign w:val="superscript"/>
                              </w:rPr>
                              <w:t>*</w:t>
                            </w:r>
                          </w:p>
                        </w:tc>
                        <w:tc>
                          <w:tcPr>
                            <w:tcW w:w="1368" w:type="dxa"/>
                            <w:vAlign w:val="center"/>
                          </w:tcPr>
                          <w:p w:rsidR="00745B5C" w:rsidRDefault="00745B5C" w:rsidP="00A76D10">
                            <w:pPr>
                              <w:tabs>
                                <w:tab w:val="decimal" w:pos="471"/>
                              </w:tabs>
                              <w:rPr>
                                <w:vertAlign w:val="superscript"/>
                              </w:rPr>
                            </w:pPr>
                            <w:r>
                              <w:t>21.0%</w:t>
                            </w:r>
                            <w:r>
                              <w:rPr>
                                <w:vertAlign w:val="superscript"/>
                              </w:rPr>
                              <w:t>***</w:t>
                            </w:r>
                          </w:p>
                          <w:p w:rsidR="00745B5C" w:rsidRPr="00C11C85" w:rsidRDefault="00745B5C" w:rsidP="00A76D10">
                            <w:pPr>
                              <w:tabs>
                                <w:tab w:val="decimal" w:pos="471"/>
                              </w:tabs>
                            </w:pPr>
                            <w:r>
                              <w:t>8.5%</w:t>
                            </w:r>
                            <w:r>
                              <w:rPr>
                                <w:vertAlign w:val="superscript"/>
                              </w:rPr>
                              <w:t>***</w:t>
                            </w:r>
                          </w:p>
                        </w:tc>
                        <w:tc>
                          <w:tcPr>
                            <w:tcW w:w="1368" w:type="dxa"/>
                            <w:vAlign w:val="center"/>
                          </w:tcPr>
                          <w:p w:rsidR="00745B5C" w:rsidRDefault="00745B5C" w:rsidP="00A76D10">
                            <w:pPr>
                              <w:tabs>
                                <w:tab w:val="decimal" w:pos="471"/>
                              </w:tabs>
                              <w:rPr>
                                <w:vertAlign w:val="superscript"/>
                              </w:rPr>
                            </w:pPr>
                            <w:r>
                              <w:t>55.6%</w:t>
                            </w:r>
                            <w:r>
                              <w:rPr>
                                <w:vertAlign w:val="superscript"/>
                              </w:rPr>
                              <w:t>***</w:t>
                            </w:r>
                          </w:p>
                          <w:p w:rsidR="00745B5C" w:rsidRPr="00F53DD2" w:rsidRDefault="00745B5C" w:rsidP="00A76D10">
                            <w:pPr>
                              <w:tabs>
                                <w:tab w:val="decimal" w:pos="471"/>
                              </w:tabs>
                            </w:pPr>
                            <w:r>
                              <w:t>22.0%</w:t>
                            </w:r>
                            <w:r>
                              <w:rPr>
                                <w:vertAlign w:val="superscript"/>
                              </w:rPr>
                              <w:t>***</w:t>
                            </w:r>
                          </w:p>
                        </w:tc>
                      </w:tr>
                      <w:tr w:rsidR="00745B5C" w:rsidTr="00A76D10">
                        <w:trPr>
                          <w:gridAfter w:val="1"/>
                          <w:wAfter w:w="68" w:type="dxa"/>
                          <w:trHeight w:val="864"/>
                        </w:trPr>
                        <w:tc>
                          <w:tcPr>
                            <w:tcW w:w="1368" w:type="dxa"/>
                            <w:vAlign w:val="center"/>
                          </w:tcPr>
                          <w:p w:rsidR="00745B5C" w:rsidRPr="00A32E8E" w:rsidRDefault="00745B5C" w:rsidP="00A76D10">
                            <w:pPr>
                              <w:ind w:left="90"/>
                            </w:pPr>
                            <w:r>
                              <w:t>Super-forecasters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pPr>
                            <w:r w:rsidRPr="00AD547F">
                              <w:rPr>
                                <w:i/>
                              </w:rPr>
                              <w:t>Median:</w:t>
                            </w:r>
                          </w:p>
                        </w:tc>
                        <w:tc>
                          <w:tcPr>
                            <w:tcW w:w="1350" w:type="dxa"/>
                            <w:shd w:val="clear" w:color="auto" w:fill="FFFFFF" w:themeFill="background1"/>
                            <w:vAlign w:val="center"/>
                          </w:tcPr>
                          <w:p w:rsidR="00745B5C" w:rsidRDefault="00745B5C" w:rsidP="00A76D10">
                            <w:pPr>
                              <w:tabs>
                                <w:tab w:val="decimal" w:pos="342"/>
                              </w:tabs>
                              <w:jc w:val="center"/>
                            </w:pPr>
                            <w:r>
                              <w:t>0.119</w:t>
                            </w:r>
                          </w:p>
                          <w:p w:rsidR="00745B5C" w:rsidRDefault="00745B5C" w:rsidP="00A76D10">
                            <w:pPr>
                              <w:tabs>
                                <w:tab w:val="decimal" w:pos="342"/>
                              </w:tabs>
                              <w:jc w:val="center"/>
                            </w:pPr>
                            <w:r>
                              <w:t>0.047</w:t>
                            </w:r>
                          </w:p>
                        </w:tc>
                        <w:tc>
                          <w:tcPr>
                            <w:tcW w:w="1368" w:type="dxa"/>
                            <w:tcBorders>
                              <w:left w:val="nil"/>
                            </w:tcBorders>
                            <w:shd w:val="clear" w:color="auto" w:fill="FFFFFF" w:themeFill="background1"/>
                            <w:vAlign w:val="center"/>
                          </w:tcPr>
                          <w:p w:rsidR="00745B5C" w:rsidRDefault="00745B5C" w:rsidP="00A76D10">
                            <w:pPr>
                              <w:tabs>
                                <w:tab w:val="decimal" w:pos="471"/>
                              </w:tabs>
                              <w:rPr>
                                <w:vertAlign w:val="superscript"/>
                              </w:rPr>
                            </w:pPr>
                            <w:r>
                              <w:t>32.0%</w:t>
                            </w:r>
                            <w:r>
                              <w:rPr>
                                <w:vertAlign w:val="superscript"/>
                              </w:rPr>
                              <w:t>***</w:t>
                            </w:r>
                          </w:p>
                          <w:p w:rsidR="00745B5C" w:rsidRPr="00AD547F" w:rsidRDefault="00745B5C" w:rsidP="00A76D10">
                            <w:pPr>
                              <w:tabs>
                                <w:tab w:val="decimal" w:pos="471"/>
                              </w:tabs>
                              <w:rPr>
                                <w:vertAlign w:val="superscript"/>
                              </w:rPr>
                            </w:pPr>
                            <w:r>
                              <w:t>2.5%</w:t>
                            </w:r>
                            <w:r>
                              <w:rPr>
                                <w:vertAlign w:val="superscript"/>
                              </w:rPr>
                              <w:t>**</w:t>
                            </w:r>
                          </w:p>
                        </w:tc>
                        <w:tc>
                          <w:tcPr>
                            <w:tcW w:w="1368" w:type="dxa"/>
                            <w:shd w:val="clear" w:color="auto" w:fill="FFFFFF" w:themeFill="background1"/>
                            <w:vAlign w:val="center"/>
                          </w:tcPr>
                          <w:p w:rsidR="00745B5C" w:rsidRDefault="00745B5C" w:rsidP="00A76D10">
                            <w:pPr>
                              <w:tabs>
                                <w:tab w:val="decimal" w:pos="471"/>
                              </w:tabs>
                            </w:pPr>
                            <w:r>
                              <w:t>215.2%</w:t>
                            </w:r>
                            <w:r>
                              <w:rPr>
                                <w:vertAlign w:val="superscript"/>
                              </w:rPr>
                              <w:t>*</w:t>
                            </w:r>
                          </w:p>
                          <w:p w:rsidR="00745B5C" w:rsidRPr="00C11C85" w:rsidRDefault="00745B5C" w:rsidP="00A76D10">
                            <w:pPr>
                              <w:tabs>
                                <w:tab w:val="decimal" w:pos="471"/>
                              </w:tabs>
                              <w:rPr>
                                <w:vertAlign w:val="superscript"/>
                              </w:rPr>
                            </w:pPr>
                            <w:r>
                              <w:t>14.5%</w:t>
                            </w:r>
                            <w:r>
                              <w:rPr>
                                <w:vertAlign w:val="superscript"/>
                              </w:rPr>
                              <w:t>***</w:t>
                            </w:r>
                          </w:p>
                        </w:tc>
                        <w:tc>
                          <w:tcPr>
                            <w:tcW w:w="1368" w:type="dxa"/>
                            <w:vAlign w:val="center"/>
                          </w:tcPr>
                          <w:p w:rsidR="00745B5C" w:rsidRDefault="00745B5C" w:rsidP="00A76D10">
                            <w:pPr>
                              <w:tabs>
                                <w:tab w:val="decimal" w:pos="471"/>
                              </w:tabs>
                            </w:pPr>
                            <w:r>
                              <w:t>1251.6%</w:t>
                            </w:r>
                            <w:r>
                              <w:rPr>
                                <w:vertAlign w:val="superscript"/>
                              </w:rPr>
                              <w:t>***</w:t>
                            </w:r>
                          </w:p>
                          <w:p w:rsidR="00745B5C" w:rsidRPr="00D13862" w:rsidRDefault="00745B5C" w:rsidP="00A76D10">
                            <w:pPr>
                              <w:tabs>
                                <w:tab w:val="decimal" w:pos="471"/>
                              </w:tabs>
                            </w:pPr>
                            <w:r>
                              <w:t>97.3%</w:t>
                            </w:r>
                            <w:r>
                              <w:rPr>
                                <w:vertAlign w:val="superscript"/>
                              </w:rPr>
                              <w:t>***</w:t>
                            </w:r>
                          </w:p>
                        </w:tc>
                        <w:tc>
                          <w:tcPr>
                            <w:tcW w:w="1368" w:type="dxa"/>
                            <w:vAlign w:val="center"/>
                          </w:tcPr>
                          <w:p w:rsidR="00745B5C" w:rsidRDefault="00745B5C" w:rsidP="00A76D10">
                            <w:pPr>
                              <w:tabs>
                                <w:tab w:val="decimal" w:pos="471"/>
                              </w:tabs>
                            </w:pPr>
                            <w:r>
                              <w:t>2869.9%</w:t>
                            </w:r>
                            <w:r>
                              <w:rPr>
                                <w:vertAlign w:val="superscript"/>
                              </w:rPr>
                              <w:t>***</w:t>
                            </w:r>
                          </w:p>
                          <w:p w:rsidR="00745B5C" w:rsidRPr="00C11C85" w:rsidRDefault="00745B5C" w:rsidP="00A76D10">
                            <w:pPr>
                              <w:tabs>
                                <w:tab w:val="decimal" w:pos="471"/>
                              </w:tabs>
                              <w:rPr>
                                <w:vertAlign w:val="superscript"/>
                              </w:rPr>
                            </w:pPr>
                            <w:r>
                              <w:t>255.1%</w:t>
                            </w:r>
                            <w:r>
                              <w:rPr>
                                <w:vertAlign w:val="superscript"/>
                              </w:rPr>
                              <w:t>***</w:t>
                            </w:r>
                          </w:p>
                        </w:tc>
                      </w:tr>
                      <w:tr w:rsidR="00745B5C" w:rsidTr="007B517E">
                        <w:trPr>
                          <w:gridAfter w:val="1"/>
                          <w:wAfter w:w="68" w:type="dxa"/>
                          <w:trHeight w:val="645"/>
                        </w:trPr>
                        <w:tc>
                          <w:tcPr>
                            <w:tcW w:w="9270" w:type="dxa"/>
                            <w:gridSpan w:val="7"/>
                            <w:vAlign w:val="center"/>
                          </w:tcPr>
                          <w:p w:rsidR="00745B5C" w:rsidRDefault="00745B5C" w:rsidP="00A76D10">
                            <w:pPr>
                              <w:tabs>
                                <w:tab w:val="decimal" w:pos="471"/>
                              </w:tabs>
                            </w:pPr>
                            <w:r>
                              <w:rPr>
                                <w:i/>
                              </w:rPr>
                              <w:t>Period III forecasts: forecasts registered at least 97 days prior to question closing</w:t>
                            </w:r>
                          </w:p>
                        </w:tc>
                      </w:tr>
                      <w:tr w:rsidR="00745B5C" w:rsidTr="00A76D10">
                        <w:trPr>
                          <w:gridAfter w:val="1"/>
                          <w:wAfter w:w="68" w:type="dxa"/>
                          <w:trHeight w:val="864"/>
                        </w:trPr>
                        <w:tc>
                          <w:tcPr>
                            <w:tcW w:w="1368" w:type="dxa"/>
                            <w:vAlign w:val="center"/>
                          </w:tcPr>
                          <w:p w:rsidR="00745B5C" w:rsidRPr="00C85E12" w:rsidRDefault="00745B5C" w:rsidP="00A76D10">
                            <w:pPr>
                              <w:ind w:left="90"/>
                            </w:pPr>
                            <w:r w:rsidRPr="00D13862">
                              <w:t>All forecasters</w:t>
                            </w:r>
                          </w:p>
                        </w:tc>
                        <w:tc>
                          <w:tcPr>
                            <w:tcW w:w="1080" w:type="dxa"/>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rPr>
                                <w:i/>
                              </w:rPr>
                            </w:pPr>
                            <w:r w:rsidRPr="00AD547F">
                              <w:rPr>
                                <w:i/>
                              </w:rPr>
                              <w:t>Median:</w:t>
                            </w:r>
                          </w:p>
                        </w:tc>
                        <w:tc>
                          <w:tcPr>
                            <w:tcW w:w="1350" w:type="dxa"/>
                            <w:shd w:val="clear" w:color="auto" w:fill="FFFFFF" w:themeFill="background1"/>
                            <w:vAlign w:val="center"/>
                          </w:tcPr>
                          <w:p w:rsidR="00745B5C" w:rsidRDefault="00745B5C" w:rsidP="00A76D10">
                            <w:pPr>
                              <w:tabs>
                                <w:tab w:val="decimal" w:pos="342"/>
                              </w:tabs>
                              <w:jc w:val="center"/>
                            </w:pPr>
                            <w:r>
                              <w:t>0.187</w:t>
                            </w:r>
                          </w:p>
                          <w:p w:rsidR="00745B5C" w:rsidRDefault="00745B5C" w:rsidP="00A76D10">
                            <w:pPr>
                              <w:tabs>
                                <w:tab w:val="decimal" w:pos="342"/>
                              </w:tabs>
                              <w:jc w:val="center"/>
                            </w:pPr>
                            <w:r>
                              <w:t>0.155</w:t>
                            </w:r>
                          </w:p>
                        </w:tc>
                        <w:tc>
                          <w:tcPr>
                            <w:tcW w:w="1368" w:type="dxa"/>
                            <w:tcBorders>
                              <w:left w:val="nil"/>
                            </w:tcBorders>
                            <w:shd w:val="clear" w:color="auto" w:fill="FFFFFF" w:themeFill="background1"/>
                            <w:vAlign w:val="center"/>
                          </w:tcPr>
                          <w:p w:rsidR="00745B5C" w:rsidRDefault="00745B5C" w:rsidP="00A76D10">
                            <w:pPr>
                              <w:tabs>
                                <w:tab w:val="decimal" w:pos="471"/>
                              </w:tabs>
                            </w:pPr>
                            <w:r>
                              <w:t>0.7%</w:t>
                            </w:r>
                            <w:r>
                              <w:rPr>
                                <w:vertAlign w:val="superscript"/>
                              </w:rPr>
                              <w:t>***</w:t>
                            </w:r>
                          </w:p>
                          <w:p w:rsidR="00745B5C" w:rsidRPr="00AD547F" w:rsidRDefault="00745B5C" w:rsidP="00A76D10">
                            <w:pPr>
                              <w:tabs>
                                <w:tab w:val="decimal" w:pos="471"/>
                              </w:tabs>
                              <w:rPr>
                                <w:vertAlign w:val="superscript"/>
                              </w:rPr>
                            </w:pPr>
                            <w:r>
                              <w:t>0.9%</w:t>
                            </w:r>
                            <w:r>
                              <w:rPr>
                                <w:vertAlign w:val="superscript"/>
                              </w:rPr>
                              <w:t>***</w:t>
                            </w:r>
                          </w:p>
                        </w:tc>
                        <w:tc>
                          <w:tcPr>
                            <w:tcW w:w="1368" w:type="dxa"/>
                            <w:shd w:val="clear" w:color="auto" w:fill="FFFFFF" w:themeFill="background1"/>
                            <w:vAlign w:val="center"/>
                          </w:tcPr>
                          <w:p w:rsidR="00745B5C" w:rsidRDefault="00745B5C" w:rsidP="00A76D10">
                            <w:pPr>
                              <w:tabs>
                                <w:tab w:val="decimal" w:pos="471"/>
                              </w:tabs>
                            </w:pPr>
                            <w:r>
                              <w:t>1.2%</w:t>
                            </w:r>
                          </w:p>
                          <w:p w:rsidR="00745B5C" w:rsidRPr="0002340F" w:rsidRDefault="00745B5C" w:rsidP="00A76D10">
                            <w:pPr>
                              <w:tabs>
                                <w:tab w:val="decimal" w:pos="471"/>
                              </w:tabs>
                              <w:rPr>
                                <w:vertAlign w:val="superscript"/>
                              </w:rPr>
                            </w:pPr>
                            <w:r>
                              <w:t>0.8%</w:t>
                            </w:r>
                            <w:r>
                              <w:rPr>
                                <w:vertAlign w:val="superscript"/>
                              </w:rPr>
                              <w:t>*</w:t>
                            </w:r>
                          </w:p>
                        </w:tc>
                        <w:tc>
                          <w:tcPr>
                            <w:tcW w:w="1368" w:type="dxa"/>
                            <w:vAlign w:val="center"/>
                          </w:tcPr>
                          <w:p w:rsidR="00745B5C" w:rsidRDefault="00745B5C" w:rsidP="00A76D10">
                            <w:pPr>
                              <w:tabs>
                                <w:tab w:val="decimal" w:pos="471"/>
                              </w:tabs>
                              <w:rPr>
                                <w:vertAlign w:val="superscript"/>
                              </w:rPr>
                            </w:pPr>
                            <w:r>
                              <w:t>6.6%</w:t>
                            </w:r>
                            <w:r>
                              <w:rPr>
                                <w:vertAlign w:val="superscript"/>
                              </w:rPr>
                              <w:t>***</w:t>
                            </w:r>
                          </w:p>
                          <w:p w:rsidR="00745B5C" w:rsidRPr="00C11C85" w:rsidRDefault="00745B5C" w:rsidP="00A76D10">
                            <w:pPr>
                              <w:tabs>
                                <w:tab w:val="decimal" w:pos="471"/>
                              </w:tabs>
                            </w:pPr>
                            <w:r>
                              <w:t>3.7%</w:t>
                            </w:r>
                            <w:r>
                              <w:rPr>
                                <w:vertAlign w:val="superscript"/>
                              </w:rPr>
                              <w:t>***</w:t>
                            </w:r>
                          </w:p>
                        </w:tc>
                        <w:tc>
                          <w:tcPr>
                            <w:tcW w:w="1368" w:type="dxa"/>
                            <w:vAlign w:val="center"/>
                          </w:tcPr>
                          <w:p w:rsidR="00745B5C" w:rsidRDefault="00745B5C" w:rsidP="00A76D10">
                            <w:pPr>
                              <w:tabs>
                                <w:tab w:val="decimal" w:pos="471"/>
                              </w:tabs>
                              <w:rPr>
                                <w:vertAlign w:val="superscript"/>
                              </w:rPr>
                            </w:pPr>
                            <w:r>
                              <w:t>18.3%</w:t>
                            </w:r>
                            <w:r>
                              <w:rPr>
                                <w:vertAlign w:val="superscript"/>
                              </w:rPr>
                              <w:t>***</w:t>
                            </w:r>
                          </w:p>
                          <w:p w:rsidR="00745B5C" w:rsidRPr="00F53DD2" w:rsidRDefault="00745B5C" w:rsidP="00A76D10">
                            <w:pPr>
                              <w:tabs>
                                <w:tab w:val="decimal" w:pos="471"/>
                              </w:tabs>
                            </w:pPr>
                            <w:r>
                              <w:t>11.8%</w:t>
                            </w:r>
                            <w:r>
                              <w:rPr>
                                <w:vertAlign w:val="superscript"/>
                              </w:rPr>
                              <w:t>***</w:t>
                            </w:r>
                          </w:p>
                        </w:tc>
                      </w:tr>
                      <w:tr w:rsidR="00745B5C" w:rsidTr="00A76D10">
                        <w:trPr>
                          <w:gridAfter w:val="1"/>
                          <w:wAfter w:w="68" w:type="dxa"/>
                          <w:trHeight w:val="864"/>
                        </w:trPr>
                        <w:tc>
                          <w:tcPr>
                            <w:tcW w:w="1368" w:type="dxa"/>
                            <w:tcBorders>
                              <w:bottom w:val="single" w:sz="4" w:space="0" w:color="auto"/>
                            </w:tcBorders>
                            <w:vAlign w:val="center"/>
                          </w:tcPr>
                          <w:p w:rsidR="00745B5C" w:rsidRPr="00A32E8E" w:rsidRDefault="00745B5C" w:rsidP="00A76D10">
                            <w:pPr>
                              <w:ind w:left="90"/>
                            </w:pPr>
                            <w:r>
                              <w:t>Super-forecasters</w:t>
                            </w:r>
                          </w:p>
                        </w:tc>
                        <w:tc>
                          <w:tcPr>
                            <w:tcW w:w="1080" w:type="dxa"/>
                            <w:tcBorders>
                              <w:bottom w:val="single" w:sz="4" w:space="0" w:color="auto"/>
                            </w:tcBorders>
                            <w:shd w:val="clear" w:color="auto" w:fill="FFFFFF" w:themeFill="background1"/>
                            <w:vAlign w:val="center"/>
                          </w:tcPr>
                          <w:p w:rsidR="00745B5C" w:rsidRPr="00AD547F" w:rsidRDefault="00745B5C" w:rsidP="00A76D10">
                            <w:pPr>
                              <w:ind w:right="-108"/>
                              <w:rPr>
                                <w:i/>
                              </w:rPr>
                            </w:pPr>
                            <w:r w:rsidRPr="00AD547F">
                              <w:rPr>
                                <w:i/>
                              </w:rPr>
                              <w:t>Mean:</w:t>
                            </w:r>
                          </w:p>
                          <w:p w:rsidR="00745B5C" w:rsidRPr="00AD547F" w:rsidRDefault="00745B5C" w:rsidP="00A76D10">
                            <w:pPr>
                              <w:ind w:right="-108"/>
                            </w:pPr>
                            <w:r w:rsidRPr="00AD547F">
                              <w:rPr>
                                <w:i/>
                              </w:rPr>
                              <w:t>Median:</w:t>
                            </w:r>
                          </w:p>
                        </w:tc>
                        <w:tc>
                          <w:tcPr>
                            <w:tcW w:w="1350" w:type="dxa"/>
                            <w:tcBorders>
                              <w:bottom w:val="single" w:sz="4" w:space="0" w:color="auto"/>
                            </w:tcBorders>
                            <w:shd w:val="clear" w:color="auto" w:fill="FFFFFF" w:themeFill="background1"/>
                            <w:vAlign w:val="center"/>
                          </w:tcPr>
                          <w:p w:rsidR="00745B5C" w:rsidRDefault="00745B5C" w:rsidP="00A76D10">
                            <w:pPr>
                              <w:tabs>
                                <w:tab w:val="decimal" w:pos="342"/>
                              </w:tabs>
                              <w:jc w:val="center"/>
                            </w:pPr>
                            <w:r>
                              <w:t>0.119</w:t>
                            </w:r>
                          </w:p>
                          <w:p w:rsidR="00745B5C" w:rsidRDefault="00745B5C" w:rsidP="00A76D10">
                            <w:pPr>
                              <w:tabs>
                                <w:tab w:val="decimal" w:pos="342"/>
                              </w:tabs>
                              <w:jc w:val="center"/>
                            </w:pPr>
                            <w:r>
                              <w:t>0.047</w:t>
                            </w:r>
                          </w:p>
                        </w:tc>
                        <w:tc>
                          <w:tcPr>
                            <w:tcW w:w="1368" w:type="dxa"/>
                            <w:tcBorders>
                              <w:left w:val="nil"/>
                              <w:bottom w:val="single" w:sz="4" w:space="0" w:color="auto"/>
                            </w:tcBorders>
                            <w:shd w:val="clear" w:color="auto" w:fill="FFFFFF" w:themeFill="background1"/>
                            <w:vAlign w:val="center"/>
                          </w:tcPr>
                          <w:p w:rsidR="00745B5C" w:rsidRDefault="00745B5C" w:rsidP="00A76D10">
                            <w:pPr>
                              <w:tabs>
                                <w:tab w:val="decimal" w:pos="471"/>
                              </w:tabs>
                              <w:rPr>
                                <w:vertAlign w:val="superscript"/>
                              </w:rPr>
                            </w:pPr>
                            <w:r>
                              <w:t>0.9%</w:t>
                            </w:r>
                            <w:r>
                              <w:rPr>
                                <w:vertAlign w:val="superscript"/>
                              </w:rPr>
                              <w:t>***</w:t>
                            </w:r>
                          </w:p>
                          <w:p w:rsidR="00745B5C" w:rsidRPr="00AD547F" w:rsidRDefault="00745B5C" w:rsidP="00A76D10">
                            <w:pPr>
                              <w:tabs>
                                <w:tab w:val="decimal" w:pos="471"/>
                              </w:tabs>
                              <w:rPr>
                                <w:vertAlign w:val="superscript"/>
                              </w:rPr>
                            </w:pPr>
                            <w:r>
                              <w:t>0.7%</w:t>
                            </w:r>
                            <w:r>
                              <w:rPr>
                                <w:vertAlign w:val="superscript"/>
                              </w:rPr>
                              <w:t>**</w:t>
                            </w:r>
                          </w:p>
                        </w:tc>
                        <w:tc>
                          <w:tcPr>
                            <w:tcW w:w="1368" w:type="dxa"/>
                            <w:tcBorders>
                              <w:bottom w:val="single" w:sz="4" w:space="0" w:color="auto"/>
                            </w:tcBorders>
                            <w:shd w:val="clear" w:color="auto" w:fill="FFFFFF" w:themeFill="background1"/>
                            <w:vAlign w:val="center"/>
                          </w:tcPr>
                          <w:p w:rsidR="00745B5C" w:rsidRDefault="00745B5C" w:rsidP="00A76D10">
                            <w:pPr>
                              <w:tabs>
                                <w:tab w:val="decimal" w:pos="471"/>
                              </w:tabs>
                            </w:pPr>
                            <w:r>
                              <w:t>13.5%</w:t>
                            </w:r>
                            <w:r>
                              <w:rPr>
                                <w:vertAlign w:val="superscript"/>
                              </w:rPr>
                              <w:t>**</w:t>
                            </w:r>
                          </w:p>
                          <w:p w:rsidR="00745B5C" w:rsidRPr="00C11C85" w:rsidRDefault="00745B5C" w:rsidP="00A76D10">
                            <w:pPr>
                              <w:tabs>
                                <w:tab w:val="decimal" w:pos="471"/>
                              </w:tabs>
                              <w:rPr>
                                <w:vertAlign w:val="superscript"/>
                              </w:rPr>
                            </w:pPr>
                            <w:r>
                              <w:t>6.3%</w:t>
                            </w:r>
                            <w:r>
                              <w:rPr>
                                <w:vertAlign w:val="superscript"/>
                              </w:rPr>
                              <w:t>***</w:t>
                            </w:r>
                          </w:p>
                        </w:tc>
                        <w:tc>
                          <w:tcPr>
                            <w:tcW w:w="1368" w:type="dxa"/>
                            <w:tcBorders>
                              <w:bottom w:val="single" w:sz="4" w:space="0" w:color="auto"/>
                            </w:tcBorders>
                            <w:vAlign w:val="center"/>
                          </w:tcPr>
                          <w:p w:rsidR="00745B5C" w:rsidRDefault="00745B5C" w:rsidP="00A76D10">
                            <w:pPr>
                              <w:tabs>
                                <w:tab w:val="decimal" w:pos="471"/>
                              </w:tabs>
                            </w:pPr>
                            <w:r>
                              <w:t>78.2%</w:t>
                            </w:r>
                            <w:r>
                              <w:rPr>
                                <w:vertAlign w:val="superscript"/>
                              </w:rPr>
                              <w:t>***</w:t>
                            </w:r>
                          </w:p>
                          <w:p w:rsidR="00745B5C" w:rsidRPr="00D13862" w:rsidRDefault="00745B5C" w:rsidP="00A76D10">
                            <w:pPr>
                              <w:tabs>
                                <w:tab w:val="decimal" w:pos="471"/>
                              </w:tabs>
                            </w:pPr>
                            <w:r>
                              <w:t>22.6%</w:t>
                            </w:r>
                            <w:r>
                              <w:rPr>
                                <w:vertAlign w:val="superscript"/>
                              </w:rPr>
                              <w:t>***</w:t>
                            </w:r>
                          </w:p>
                        </w:tc>
                        <w:tc>
                          <w:tcPr>
                            <w:tcW w:w="1368" w:type="dxa"/>
                            <w:tcBorders>
                              <w:bottom w:val="single" w:sz="4" w:space="0" w:color="auto"/>
                            </w:tcBorders>
                            <w:vAlign w:val="center"/>
                          </w:tcPr>
                          <w:p w:rsidR="00745B5C" w:rsidRDefault="00745B5C" w:rsidP="00A76D10">
                            <w:pPr>
                              <w:tabs>
                                <w:tab w:val="decimal" w:pos="471"/>
                              </w:tabs>
                            </w:pPr>
                            <w:r>
                              <w:t>204.4%</w:t>
                            </w:r>
                            <w:r>
                              <w:rPr>
                                <w:vertAlign w:val="superscript"/>
                              </w:rPr>
                              <w:t>***</w:t>
                            </w:r>
                          </w:p>
                          <w:p w:rsidR="00745B5C" w:rsidRPr="00C11C85" w:rsidRDefault="00745B5C" w:rsidP="00A76D10">
                            <w:pPr>
                              <w:tabs>
                                <w:tab w:val="decimal" w:pos="471"/>
                              </w:tabs>
                              <w:rPr>
                                <w:vertAlign w:val="superscript"/>
                              </w:rPr>
                            </w:pPr>
                            <w:r>
                              <w:t>72.9%</w:t>
                            </w:r>
                            <w:r>
                              <w:rPr>
                                <w:vertAlign w:val="superscript"/>
                              </w:rPr>
                              <w:t>***</w:t>
                            </w:r>
                          </w:p>
                        </w:tc>
                      </w:tr>
                    </w:tbl>
                    <w:p w:rsidR="00745B5C" w:rsidRPr="00CC0E00" w:rsidRDefault="00745B5C" w:rsidP="00745B5C">
                      <w:pPr>
                        <w:rPr>
                          <w:sz w:val="22"/>
                          <w:szCs w:val="22"/>
                        </w:rPr>
                      </w:pPr>
                      <w:r w:rsidRPr="00AD368F">
                        <w:rPr>
                          <w:sz w:val="22"/>
                          <w:szCs w:val="22"/>
                          <w:vertAlign w:val="superscript"/>
                        </w:rPr>
                        <w:t>*</w:t>
                      </w:r>
                      <w:r>
                        <w:rPr>
                          <w:sz w:val="22"/>
                          <w:szCs w:val="22"/>
                        </w:rPr>
                        <w:t>p&lt;0.05</w:t>
                      </w:r>
                      <w:r w:rsidRPr="00AD368F">
                        <w:rPr>
                          <w:sz w:val="22"/>
                          <w:szCs w:val="22"/>
                        </w:rPr>
                        <w:t xml:space="preserve">, </w:t>
                      </w:r>
                      <w:r w:rsidRPr="00AD368F">
                        <w:rPr>
                          <w:sz w:val="22"/>
                          <w:szCs w:val="22"/>
                          <w:vertAlign w:val="superscript"/>
                        </w:rPr>
                        <w:t>**</w:t>
                      </w:r>
                      <w:r w:rsidRPr="00AD368F">
                        <w:rPr>
                          <w:sz w:val="22"/>
                          <w:szCs w:val="22"/>
                        </w:rPr>
                        <w:t xml:space="preserve"> p&lt;</w:t>
                      </w:r>
                      <w:r>
                        <w:rPr>
                          <w:sz w:val="22"/>
                          <w:szCs w:val="22"/>
                        </w:rPr>
                        <w:t>0</w:t>
                      </w:r>
                      <w:r w:rsidRPr="00AD368F">
                        <w:rPr>
                          <w:sz w:val="22"/>
                          <w:szCs w:val="22"/>
                        </w:rPr>
                        <w:t>.0</w:t>
                      </w:r>
                      <w:r>
                        <w:rPr>
                          <w:sz w:val="22"/>
                          <w:szCs w:val="22"/>
                        </w:rPr>
                        <w:t>1</w:t>
                      </w:r>
                      <w:r w:rsidRPr="00AD368F">
                        <w:rPr>
                          <w:sz w:val="22"/>
                          <w:szCs w:val="22"/>
                        </w:rPr>
                        <w:t xml:space="preserve">, </w:t>
                      </w:r>
                      <w:r w:rsidRPr="00AD368F">
                        <w:rPr>
                          <w:sz w:val="22"/>
                          <w:szCs w:val="22"/>
                          <w:vertAlign w:val="superscript"/>
                        </w:rPr>
                        <w:t>***</w:t>
                      </w:r>
                      <w:r w:rsidRPr="00AD368F">
                        <w:rPr>
                          <w:sz w:val="22"/>
                          <w:szCs w:val="22"/>
                        </w:rPr>
                        <w:t xml:space="preserve"> p&lt;</w:t>
                      </w:r>
                      <w:r>
                        <w:rPr>
                          <w:sz w:val="22"/>
                          <w:szCs w:val="22"/>
                        </w:rPr>
                        <w:t>0</w:t>
                      </w:r>
                      <w:r w:rsidRPr="00AD368F">
                        <w:rPr>
                          <w:sz w:val="22"/>
                          <w:szCs w:val="22"/>
                        </w:rPr>
                        <w:t>.00</w:t>
                      </w:r>
                      <w:r>
                        <w:rPr>
                          <w:sz w:val="22"/>
                          <w:szCs w:val="22"/>
                        </w:rPr>
                        <w:t>1</w:t>
                      </w:r>
                      <w:r w:rsidRPr="00AD368F">
                        <w:rPr>
                          <w:sz w:val="22"/>
                          <w:szCs w:val="22"/>
                        </w:rPr>
                        <w:t>.</w:t>
                      </w:r>
                      <w:r>
                        <w:rPr>
                          <w:sz w:val="22"/>
                          <w:szCs w:val="22"/>
                        </w:rPr>
                        <w:t xml:space="preserve">  </w:t>
                      </w:r>
                      <w:r>
                        <w:rPr>
                          <w:sz w:val="22"/>
                          <w:szCs w:val="22"/>
                          <w:vertAlign w:val="superscript"/>
                        </w:rPr>
                        <w:t>†</w:t>
                      </w:r>
                      <w:r>
                        <w:rPr>
                          <w:sz w:val="22"/>
                          <w:szCs w:val="22"/>
                        </w:rPr>
                        <w:t>On some questions, superforecasters’ average prediction was zero, creating a negatively-infinite rounding penalty. We dropped those observations in order to create the estimates shown here.</w:t>
                      </w:r>
                    </w:p>
                    <w:p w:rsidR="00745B5C" w:rsidRPr="00D13862" w:rsidRDefault="00745B5C" w:rsidP="00745B5C"/>
                  </w:txbxContent>
                </v:textbox>
                <w10:anchorlock/>
              </v:shape>
            </w:pict>
          </mc:Fallback>
        </mc:AlternateContent>
      </w:r>
    </w:p>
    <w:p w:rsidR="00745B5C" w:rsidRPr="003772D5" w:rsidRDefault="00745B5C" w:rsidP="00745B5C">
      <w:pPr>
        <w:spacing w:line="360" w:lineRule="auto"/>
        <w:jc w:val="both"/>
        <w:rPr>
          <w:u w:val="single"/>
        </w:rPr>
      </w:pPr>
      <w:r>
        <w:rPr>
          <w:u w:val="single"/>
        </w:rPr>
        <w:lastRenderedPageBreak/>
        <w:t>IV.  Analysis of returns to precision across question types</w:t>
      </w:r>
    </w:p>
    <w:p w:rsidR="00745B5C" w:rsidRDefault="00745B5C" w:rsidP="000475EB">
      <w:pPr>
        <w:spacing w:line="360" w:lineRule="auto"/>
      </w:pPr>
      <w:r>
        <w:t xml:space="preserve">To </w:t>
      </w:r>
      <w:r w:rsidR="000475EB">
        <w:t>analyze whether returns to precision correlate with special clusters of questions,</w:t>
      </w:r>
      <w:r w:rsidRPr="00FE75AF">
        <w:t xml:space="preserve"> we </w:t>
      </w:r>
      <w:r>
        <w:t xml:space="preserve">used GJP’s data classifying forecasting questions </w:t>
      </w:r>
      <w:r w:rsidRPr="00FE75AF">
        <w:t>with respect to 11 “region” tags and 15 “function” tags. The region tags corresponded to Sub-Saharan Africa, Central/South America, North America, South/Central Asia, East/Southeast Asia, Eastern Europe, Western Europe, Middle East/North Africa, Oceania, Global, and the Arctic. The function tags were Commodities, Currencies, Diplomatic Relations, Domestic Conflict, Economic Growth/Policy, Elections, International Organizations, International Security/Conflict, Leader Entry/Exit, Public Health, Resources/Environment, Technology, Trade, Treaties/Agreements, and Weapons. Tags were</w:t>
      </w:r>
      <w:r>
        <w:t xml:space="preserve"> not mutually exclusive. Table A-2</w:t>
      </w:r>
      <w:r w:rsidRPr="00FE75AF">
        <w:t xml:space="preserve"> describes the incidence of each regional and functional topic across GJP questions.</w:t>
      </w:r>
    </w:p>
    <w:p w:rsidR="00745B5C" w:rsidRDefault="00745B5C" w:rsidP="00745B5C">
      <w:pPr>
        <w:spacing w:line="360" w:lineRule="auto"/>
        <w:ind w:firstLine="270"/>
      </w:pPr>
      <w:r w:rsidRPr="00FE75AF">
        <w:t xml:space="preserve">We examined these variables in ordinary least squares regressions predicting question-level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FE75AF">
        <w:t xml:space="preserve"> thresholds based on dummy variables for question type. Table </w:t>
      </w:r>
      <w:r>
        <w:t>A-2</w:t>
      </w:r>
      <w:r w:rsidRPr="00FE75AF">
        <w:t xml:space="preserve"> presents results. Model 1 combines all tags within a single regression. Models 2 and 3 examine region and function tags, respectively. Model 4 optimizes model fit, as measured by AIC score. </w:t>
      </w:r>
    </w:p>
    <w:p w:rsidR="00745B5C" w:rsidRDefault="00745B5C" w:rsidP="00745B5C">
      <w:pPr>
        <w:spacing w:line="360" w:lineRule="auto"/>
        <w:ind w:firstLine="270"/>
      </w:pPr>
      <w:r w:rsidRPr="00FE75AF">
        <w:t>This purely inductive analysis is not intended to advance a theoretical framework for explaining question-level retur</w:t>
      </w:r>
      <w:r>
        <w:t>ns to precision. Rather, Table A-2</w:t>
      </w:r>
      <w:r w:rsidRPr="00FE75AF">
        <w:t xml:space="preserve"> indicates the extent to which returns to precision belong to identifiable subsets of question types. And while all four models identify statistically significant patterns, none produces a particular high model fit. When we examine all 26 question tags simultaneously – in a regression that clearly entails overfitting – the model’s R</w:t>
      </w:r>
      <w:r w:rsidRPr="00FE75AF">
        <w:rPr>
          <w:vertAlign w:val="superscript"/>
        </w:rPr>
        <w:t>2</w:t>
      </w:r>
      <w:r w:rsidRPr="00FE75AF">
        <w:t xml:space="preserve"> is just 0.16. The constant term remains stable across models, indicating that baseline returns to precision are relatively unaffected when controlling for up to 26 question types. </w:t>
      </w:r>
    </w:p>
    <w:p w:rsidR="00745B5C" w:rsidRDefault="00745B5C" w:rsidP="00745B5C">
      <w:pPr>
        <w:spacing w:line="360" w:lineRule="auto"/>
        <w:ind w:firstLine="270"/>
      </w:pPr>
      <w:r w:rsidRPr="00FE75AF">
        <w:t xml:space="preserve">Thus even in a purely inductive effort to identify how returns to precision vary across questions, we see little indication that forecasters’ ability to specify their estimates is confined to particular topics. These findings reinforce our broader argument that foreign policy analysts can consistently parse probabilities more finely than what common systems of qualitative expression allow. </w:t>
      </w:r>
      <w:r>
        <w:br w:type="page"/>
      </w:r>
    </w:p>
    <w:p w:rsidR="00745B5C" w:rsidRPr="00FE75AF" w:rsidRDefault="00745B5C" w:rsidP="00745B5C">
      <w:pPr>
        <w:rPr>
          <w:b/>
        </w:rPr>
      </w:pPr>
      <w:r>
        <w:rPr>
          <w:b/>
        </w:rPr>
        <w:lastRenderedPageBreak/>
        <w:t>Table A-2</w:t>
      </w:r>
      <w:r w:rsidRPr="00FE75AF">
        <w:rPr>
          <w:b/>
        </w:rPr>
        <w:t>. Predicting Question-Level Returns to Precision</w:t>
      </w:r>
    </w:p>
    <w:tbl>
      <w:tblPr>
        <w:tblStyle w:val="TableGrid"/>
        <w:tblW w:w="94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1692"/>
        <w:gridCol w:w="1530"/>
        <w:gridCol w:w="1710"/>
        <w:gridCol w:w="1530"/>
      </w:tblGrid>
      <w:tr w:rsidR="00745B5C" w:rsidRPr="00FE75AF" w:rsidTr="00452631">
        <w:trPr>
          <w:trHeight w:val="800"/>
        </w:trPr>
        <w:tc>
          <w:tcPr>
            <w:tcW w:w="2988" w:type="dxa"/>
            <w:tcBorders>
              <w:top w:val="single" w:sz="4" w:space="0" w:color="auto"/>
              <w:bottom w:val="single" w:sz="4" w:space="0" w:color="auto"/>
            </w:tcBorders>
            <w:vAlign w:val="center"/>
          </w:tcPr>
          <w:p w:rsidR="00745B5C" w:rsidRPr="00FE75AF" w:rsidRDefault="00745B5C" w:rsidP="00452631">
            <w:pPr>
              <w:contextualSpacing/>
            </w:pPr>
          </w:p>
        </w:tc>
        <w:tc>
          <w:tcPr>
            <w:tcW w:w="1692" w:type="dxa"/>
            <w:tcBorders>
              <w:top w:val="single" w:sz="4" w:space="0" w:color="auto"/>
              <w:bottom w:val="single" w:sz="4" w:space="0" w:color="auto"/>
            </w:tcBorders>
            <w:vAlign w:val="center"/>
          </w:tcPr>
          <w:p w:rsidR="00745B5C" w:rsidRPr="00FE75AF" w:rsidRDefault="00745B5C" w:rsidP="00452631">
            <w:pPr>
              <w:contextualSpacing/>
            </w:pPr>
            <w:r w:rsidRPr="00FE75AF">
              <w:t>Model 1:</w:t>
            </w:r>
          </w:p>
          <w:p w:rsidR="00745B5C" w:rsidRPr="00FE75AF" w:rsidRDefault="00745B5C" w:rsidP="00452631">
            <w:pPr>
              <w:contextualSpacing/>
              <w:rPr>
                <w:i/>
              </w:rPr>
            </w:pPr>
            <w:r w:rsidRPr="00FE75AF">
              <w:rPr>
                <w:i/>
              </w:rPr>
              <w:t>All Tags</w:t>
            </w:r>
          </w:p>
        </w:tc>
        <w:tc>
          <w:tcPr>
            <w:tcW w:w="1530" w:type="dxa"/>
            <w:tcBorders>
              <w:top w:val="single" w:sz="4" w:space="0" w:color="auto"/>
              <w:bottom w:val="single" w:sz="4" w:space="0" w:color="auto"/>
            </w:tcBorders>
            <w:vAlign w:val="center"/>
          </w:tcPr>
          <w:p w:rsidR="00745B5C" w:rsidRPr="00FE75AF" w:rsidRDefault="00745B5C" w:rsidP="00452631">
            <w:pPr>
              <w:contextualSpacing/>
            </w:pPr>
            <w:r w:rsidRPr="00FE75AF">
              <w:t>Model 2:</w:t>
            </w:r>
          </w:p>
          <w:p w:rsidR="00745B5C" w:rsidRPr="00FE75AF" w:rsidRDefault="00745B5C" w:rsidP="00452631">
            <w:pPr>
              <w:contextualSpacing/>
              <w:rPr>
                <w:i/>
              </w:rPr>
            </w:pPr>
            <w:r w:rsidRPr="00FE75AF">
              <w:rPr>
                <w:i/>
              </w:rPr>
              <w:t>Region Tags</w:t>
            </w:r>
          </w:p>
        </w:tc>
        <w:tc>
          <w:tcPr>
            <w:tcW w:w="1710" w:type="dxa"/>
            <w:tcBorders>
              <w:top w:val="single" w:sz="4" w:space="0" w:color="auto"/>
              <w:bottom w:val="single" w:sz="4" w:space="0" w:color="auto"/>
            </w:tcBorders>
            <w:vAlign w:val="center"/>
          </w:tcPr>
          <w:p w:rsidR="00745B5C" w:rsidRPr="00FE75AF" w:rsidRDefault="00745B5C" w:rsidP="00452631">
            <w:pPr>
              <w:contextualSpacing/>
            </w:pPr>
            <w:r w:rsidRPr="00FE75AF">
              <w:t>Model 3:</w:t>
            </w:r>
          </w:p>
          <w:p w:rsidR="00745B5C" w:rsidRPr="00FE75AF" w:rsidRDefault="00745B5C" w:rsidP="00452631">
            <w:pPr>
              <w:contextualSpacing/>
              <w:rPr>
                <w:i/>
              </w:rPr>
            </w:pPr>
            <w:r w:rsidRPr="00FE75AF">
              <w:rPr>
                <w:i/>
              </w:rPr>
              <w:t>Function Tags</w:t>
            </w:r>
          </w:p>
        </w:tc>
        <w:tc>
          <w:tcPr>
            <w:tcW w:w="1530" w:type="dxa"/>
            <w:tcBorders>
              <w:top w:val="single" w:sz="4" w:space="0" w:color="auto"/>
              <w:bottom w:val="single" w:sz="4" w:space="0" w:color="auto"/>
            </w:tcBorders>
            <w:vAlign w:val="center"/>
          </w:tcPr>
          <w:p w:rsidR="00745B5C" w:rsidRPr="00FE75AF" w:rsidRDefault="00745B5C" w:rsidP="00452631">
            <w:pPr>
              <w:contextualSpacing/>
            </w:pPr>
            <w:r w:rsidRPr="00FE75AF">
              <w:t>Model 4:</w:t>
            </w:r>
          </w:p>
          <w:p w:rsidR="00745B5C" w:rsidRPr="00FE75AF" w:rsidRDefault="00745B5C" w:rsidP="00452631">
            <w:pPr>
              <w:contextualSpacing/>
              <w:rPr>
                <w:i/>
              </w:rPr>
            </w:pPr>
            <w:r w:rsidRPr="00FE75AF">
              <w:rPr>
                <w:i/>
              </w:rPr>
              <w:t>Optimal AIC</w:t>
            </w:r>
          </w:p>
        </w:tc>
      </w:tr>
      <w:tr w:rsidR="00745B5C" w:rsidRPr="00FE75AF" w:rsidTr="00452631">
        <w:tc>
          <w:tcPr>
            <w:tcW w:w="2988" w:type="dxa"/>
            <w:tcBorders>
              <w:top w:val="single" w:sz="4" w:space="0" w:color="auto"/>
            </w:tcBorders>
          </w:tcPr>
          <w:p w:rsidR="00745B5C" w:rsidRPr="00FE75AF" w:rsidRDefault="00745B5C" w:rsidP="00452631">
            <w:pPr>
              <w:contextualSpacing/>
            </w:pPr>
          </w:p>
        </w:tc>
        <w:tc>
          <w:tcPr>
            <w:tcW w:w="1692" w:type="dxa"/>
            <w:tcBorders>
              <w:top w:val="single" w:sz="4" w:space="0" w:color="auto"/>
            </w:tcBorders>
          </w:tcPr>
          <w:p w:rsidR="00745B5C" w:rsidRPr="00FE75AF" w:rsidRDefault="00745B5C" w:rsidP="00452631">
            <w:pPr>
              <w:contextualSpacing/>
            </w:pPr>
          </w:p>
        </w:tc>
        <w:tc>
          <w:tcPr>
            <w:tcW w:w="1530" w:type="dxa"/>
            <w:tcBorders>
              <w:top w:val="single" w:sz="4" w:space="0" w:color="auto"/>
            </w:tcBorders>
          </w:tcPr>
          <w:p w:rsidR="00745B5C" w:rsidRPr="00FE75AF" w:rsidRDefault="00745B5C" w:rsidP="00452631">
            <w:pPr>
              <w:contextualSpacing/>
            </w:pPr>
          </w:p>
        </w:tc>
        <w:tc>
          <w:tcPr>
            <w:tcW w:w="1710" w:type="dxa"/>
            <w:tcBorders>
              <w:top w:val="single" w:sz="4" w:space="0" w:color="auto"/>
            </w:tcBorders>
          </w:tcPr>
          <w:p w:rsidR="00745B5C" w:rsidRPr="00FE75AF" w:rsidRDefault="00745B5C" w:rsidP="00452631">
            <w:pPr>
              <w:contextualSpacing/>
              <w:rPr>
                <w:i/>
              </w:rPr>
            </w:pPr>
          </w:p>
        </w:tc>
        <w:tc>
          <w:tcPr>
            <w:tcW w:w="1530" w:type="dxa"/>
            <w:tcBorders>
              <w:top w:val="single" w:sz="4" w:space="0" w:color="auto"/>
            </w:tcBorders>
          </w:tcPr>
          <w:p w:rsidR="00745B5C" w:rsidRPr="00FE75AF" w:rsidRDefault="00745B5C" w:rsidP="00452631">
            <w:pPr>
              <w:contextualSpacing/>
            </w:pPr>
          </w:p>
        </w:tc>
      </w:tr>
      <w:tr w:rsidR="00745B5C" w:rsidRPr="00FE75AF" w:rsidTr="00452631">
        <w:tc>
          <w:tcPr>
            <w:tcW w:w="2988" w:type="dxa"/>
          </w:tcPr>
          <w:p w:rsidR="00745B5C" w:rsidRPr="00FE75AF" w:rsidRDefault="00745B5C" w:rsidP="00452631">
            <w:pPr>
              <w:contextualSpacing/>
            </w:pPr>
            <w:r w:rsidRPr="00FE75AF">
              <w:t>Africa (</w:t>
            </w:r>
            <w:r w:rsidRPr="00FE75AF">
              <w:rPr>
                <w:i/>
              </w:rPr>
              <w:t>N</w:t>
            </w:r>
            <w:r w:rsidRPr="00FE75AF">
              <w:t>=34)</w:t>
            </w:r>
          </w:p>
        </w:tc>
        <w:tc>
          <w:tcPr>
            <w:tcW w:w="1692" w:type="dxa"/>
          </w:tcPr>
          <w:p w:rsidR="00745B5C" w:rsidRPr="00FE75AF" w:rsidRDefault="00745B5C" w:rsidP="00452631">
            <w:pPr>
              <w:tabs>
                <w:tab w:val="decimal" w:pos="342"/>
              </w:tabs>
              <w:contextualSpacing/>
            </w:pPr>
            <w:r w:rsidRPr="00FE75AF">
              <w:t>-0.88 (.99)</w:t>
            </w:r>
          </w:p>
        </w:tc>
        <w:tc>
          <w:tcPr>
            <w:tcW w:w="1530" w:type="dxa"/>
          </w:tcPr>
          <w:p w:rsidR="00745B5C" w:rsidRPr="00FE75AF" w:rsidRDefault="00745B5C" w:rsidP="00452631">
            <w:pPr>
              <w:tabs>
                <w:tab w:val="decimal" w:pos="342"/>
              </w:tabs>
              <w:contextualSpacing/>
            </w:pPr>
            <w:r w:rsidRPr="00FE75AF">
              <w:t>-0.91 (1.01)</w:t>
            </w:r>
          </w:p>
        </w:tc>
        <w:tc>
          <w:tcPr>
            <w:tcW w:w="1710" w:type="dxa"/>
          </w:tcPr>
          <w:p w:rsidR="00745B5C" w:rsidRPr="00FE75AF" w:rsidRDefault="00745B5C" w:rsidP="00452631">
            <w:pPr>
              <w:tabs>
                <w:tab w:val="decimal" w:pos="342"/>
              </w:tabs>
              <w:contextualSpacing/>
              <w:rPr>
                <w:i/>
              </w:rPr>
            </w:pPr>
          </w:p>
        </w:tc>
        <w:tc>
          <w:tcPr>
            <w:tcW w:w="1530" w:type="dxa"/>
          </w:tcPr>
          <w:p w:rsidR="00745B5C" w:rsidRPr="00FE75AF" w:rsidRDefault="00745B5C" w:rsidP="00452631">
            <w:pPr>
              <w:tabs>
                <w:tab w:val="decimal" w:pos="342"/>
              </w:tabs>
              <w:contextualSpacing/>
            </w:pPr>
          </w:p>
        </w:tc>
      </w:tr>
      <w:tr w:rsidR="00745B5C" w:rsidRPr="00FE75AF" w:rsidTr="00452631">
        <w:tc>
          <w:tcPr>
            <w:tcW w:w="2988" w:type="dxa"/>
          </w:tcPr>
          <w:p w:rsidR="00745B5C" w:rsidRPr="00FE75AF" w:rsidRDefault="00745B5C" w:rsidP="00452631">
            <w:pPr>
              <w:contextualSpacing/>
            </w:pPr>
            <w:r w:rsidRPr="00FE75AF">
              <w:t>Central/South America (18)</w:t>
            </w:r>
          </w:p>
        </w:tc>
        <w:tc>
          <w:tcPr>
            <w:tcW w:w="1692" w:type="dxa"/>
          </w:tcPr>
          <w:p w:rsidR="00745B5C" w:rsidRPr="00FE75AF" w:rsidRDefault="00745B5C" w:rsidP="00452631">
            <w:pPr>
              <w:tabs>
                <w:tab w:val="decimal" w:pos="342"/>
              </w:tabs>
              <w:contextualSpacing/>
            </w:pPr>
            <w:r w:rsidRPr="00FE75AF">
              <w:t>1.02 (1.46)</w:t>
            </w:r>
          </w:p>
        </w:tc>
        <w:tc>
          <w:tcPr>
            <w:tcW w:w="1530" w:type="dxa"/>
          </w:tcPr>
          <w:p w:rsidR="00745B5C" w:rsidRPr="00FE75AF" w:rsidRDefault="00745B5C" w:rsidP="00452631">
            <w:pPr>
              <w:tabs>
                <w:tab w:val="decimal" w:pos="342"/>
              </w:tabs>
              <w:contextualSpacing/>
            </w:pPr>
            <w:r w:rsidRPr="00FE75AF">
              <w:t>0.81 (1.54)</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r w:rsidRPr="00FE75AF">
              <w:t>1.31 (1.05)</w:t>
            </w:r>
          </w:p>
        </w:tc>
      </w:tr>
      <w:tr w:rsidR="00745B5C" w:rsidRPr="00FE75AF" w:rsidTr="00452631">
        <w:tc>
          <w:tcPr>
            <w:tcW w:w="2988" w:type="dxa"/>
          </w:tcPr>
          <w:p w:rsidR="00745B5C" w:rsidRPr="00FE75AF" w:rsidRDefault="00745B5C" w:rsidP="00452631">
            <w:pPr>
              <w:contextualSpacing/>
            </w:pPr>
            <w:r w:rsidRPr="00FE75AF">
              <w:t>North America (23)</w:t>
            </w:r>
          </w:p>
        </w:tc>
        <w:tc>
          <w:tcPr>
            <w:tcW w:w="1692" w:type="dxa"/>
          </w:tcPr>
          <w:p w:rsidR="00745B5C" w:rsidRPr="00FE75AF" w:rsidRDefault="00745B5C" w:rsidP="00452631">
            <w:pPr>
              <w:tabs>
                <w:tab w:val="decimal" w:pos="342"/>
              </w:tabs>
              <w:contextualSpacing/>
            </w:pPr>
            <w:r w:rsidRPr="00FE75AF">
              <w:t>2.21 (1.20)</w:t>
            </w:r>
          </w:p>
        </w:tc>
        <w:tc>
          <w:tcPr>
            <w:tcW w:w="1530" w:type="dxa"/>
          </w:tcPr>
          <w:p w:rsidR="00745B5C" w:rsidRPr="00FE75AF" w:rsidRDefault="00745B5C" w:rsidP="00452631">
            <w:pPr>
              <w:tabs>
                <w:tab w:val="decimal" w:pos="342"/>
              </w:tabs>
              <w:contextualSpacing/>
            </w:pPr>
            <w:r w:rsidRPr="00FE75AF">
              <w:t>1.64 (1.09)</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rPr>
                <w:vertAlign w:val="superscript"/>
              </w:rPr>
            </w:pPr>
            <w:r w:rsidRPr="00FE75AF">
              <w:t>2.45 (1.00)</w:t>
            </w:r>
            <w:r>
              <w:rPr>
                <w:vertAlign w:val="superscript"/>
              </w:rPr>
              <w:t>*</w:t>
            </w:r>
          </w:p>
        </w:tc>
      </w:tr>
      <w:tr w:rsidR="00745B5C" w:rsidRPr="00FE75AF" w:rsidTr="00452631">
        <w:tc>
          <w:tcPr>
            <w:tcW w:w="2988" w:type="dxa"/>
          </w:tcPr>
          <w:p w:rsidR="00745B5C" w:rsidRPr="00FE75AF" w:rsidRDefault="00745B5C" w:rsidP="00452631">
            <w:pPr>
              <w:contextualSpacing/>
            </w:pPr>
            <w:r w:rsidRPr="00FE75AF">
              <w:t>South/Central Asia (18)</w:t>
            </w:r>
          </w:p>
        </w:tc>
        <w:tc>
          <w:tcPr>
            <w:tcW w:w="1692" w:type="dxa"/>
          </w:tcPr>
          <w:p w:rsidR="00745B5C" w:rsidRPr="00FE75AF" w:rsidRDefault="00745B5C" w:rsidP="00452631">
            <w:pPr>
              <w:tabs>
                <w:tab w:val="decimal" w:pos="342"/>
              </w:tabs>
              <w:contextualSpacing/>
            </w:pPr>
            <w:r w:rsidRPr="00FE75AF">
              <w:t>0.08 (1.30)</w:t>
            </w:r>
          </w:p>
        </w:tc>
        <w:tc>
          <w:tcPr>
            <w:tcW w:w="1530" w:type="dxa"/>
          </w:tcPr>
          <w:p w:rsidR="00745B5C" w:rsidRPr="00FE75AF" w:rsidRDefault="00745B5C" w:rsidP="00452631">
            <w:pPr>
              <w:tabs>
                <w:tab w:val="decimal" w:pos="342"/>
              </w:tabs>
              <w:contextualSpacing/>
            </w:pPr>
            <w:r w:rsidRPr="00FE75AF">
              <w:t>0.18 (1.31)</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East/Southeast Asia (80)</w:t>
            </w:r>
          </w:p>
        </w:tc>
        <w:tc>
          <w:tcPr>
            <w:tcW w:w="1692" w:type="dxa"/>
          </w:tcPr>
          <w:p w:rsidR="00745B5C" w:rsidRPr="00FE75AF" w:rsidRDefault="00745B5C" w:rsidP="00452631">
            <w:pPr>
              <w:tabs>
                <w:tab w:val="decimal" w:pos="342"/>
              </w:tabs>
              <w:contextualSpacing/>
            </w:pPr>
            <w:r w:rsidRPr="00FE75AF">
              <w:t>-0.38 (.85)</w:t>
            </w:r>
          </w:p>
        </w:tc>
        <w:tc>
          <w:tcPr>
            <w:tcW w:w="1530" w:type="dxa"/>
          </w:tcPr>
          <w:p w:rsidR="00745B5C" w:rsidRPr="00FE75AF" w:rsidRDefault="00745B5C" w:rsidP="00452631">
            <w:pPr>
              <w:tabs>
                <w:tab w:val="decimal" w:pos="342"/>
              </w:tabs>
              <w:contextualSpacing/>
            </w:pPr>
            <w:r w:rsidRPr="00FE75AF">
              <w:t>-0.30 (.86)</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Eastern Europe (57)</w:t>
            </w:r>
          </w:p>
        </w:tc>
        <w:tc>
          <w:tcPr>
            <w:tcW w:w="1692" w:type="dxa"/>
          </w:tcPr>
          <w:p w:rsidR="00745B5C" w:rsidRPr="00FE75AF" w:rsidRDefault="00745B5C" w:rsidP="00452631">
            <w:pPr>
              <w:tabs>
                <w:tab w:val="decimal" w:pos="342"/>
              </w:tabs>
              <w:contextualSpacing/>
            </w:pPr>
            <w:r w:rsidRPr="00FE75AF">
              <w:t>-0.18 (.72)</w:t>
            </w:r>
          </w:p>
        </w:tc>
        <w:tc>
          <w:tcPr>
            <w:tcW w:w="1530" w:type="dxa"/>
          </w:tcPr>
          <w:p w:rsidR="00745B5C" w:rsidRPr="00FE75AF" w:rsidRDefault="00745B5C" w:rsidP="00452631">
            <w:pPr>
              <w:tabs>
                <w:tab w:val="decimal" w:pos="342"/>
              </w:tabs>
              <w:contextualSpacing/>
            </w:pPr>
            <w:r w:rsidRPr="00FE75AF">
              <w:t>-0.19 (.70)</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Western Europe (56)</w:t>
            </w:r>
          </w:p>
        </w:tc>
        <w:tc>
          <w:tcPr>
            <w:tcW w:w="1692" w:type="dxa"/>
          </w:tcPr>
          <w:p w:rsidR="00745B5C" w:rsidRPr="00FE75AF" w:rsidRDefault="00745B5C" w:rsidP="00452631">
            <w:pPr>
              <w:tabs>
                <w:tab w:val="decimal" w:pos="342"/>
              </w:tabs>
              <w:contextualSpacing/>
            </w:pPr>
            <w:r w:rsidRPr="00FE75AF">
              <w:t>-1.36 (.75)</w:t>
            </w:r>
          </w:p>
        </w:tc>
        <w:tc>
          <w:tcPr>
            <w:tcW w:w="1530" w:type="dxa"/>
          </w:tcPr>
          <w:p w:rsidR="00745B5C" w:rsidRPr="00FE75AF" w:rsidRDefault="00745B5C" w:rsidP="00452631">
            <w:pPr>
              <w:tabs>
                <w:tab w:val="decimal" w:pos="342"/>
              </w:tabs>
              <w:contextualSpacing/>
              <w:rPr>
                <w:vertAlign w:val="superscript"/>
              </w:rPr>
            </w:pPr>
            <w:r w:rsidRPr="00FE75AF">
              <w:t>-1.86 (.76)</w:t>
            </w:r>
            <w:r>
              <w:rPr>
                <w:vertAlign w:val="superscript"/>
              </w:rPr>
              <w:t>*</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r w:rsidRPr="00FE75AF">
              <w:t>-1.02 (.63)</w:t>
            </w:r>
          </w:p>
        </w:tc>
      </w:tr>
      <w:tr w:rsidR="00745B5C" w:rsidRPr="00FE75AF" w:rsidTr="00452631">
        <w:tc>
          <w:tcPr>
            <w:tcW w:w="2988" w:type="dxa"/>
          </w:tcPr>
          <w:p w:rsidR="00745B5C" w:rsidRPr="00FE75AF" w:rsidRDefault="00745B5C" w:rsidP="00452631">
            <w:pPr>
              <w:contextualSpacing/>
            </w:pPr>
            <w:r w:rsidRPr="00FE75AF">
              <w:t>Global (6)</w:t>
            </w:r>
          </w:p>
        </w:tc>
        <w:tc>
          <w:tcPr>
            <w:tcW w:w="1692" w:type="dxa"/>
          </w:tcPr>
          <w:p w:rsidR="00745B5C" w:rsidRPr="00714B03" w:rsidRDefault="00745B5C" w:rsidP="00452631">
            <w:pPr>
              <w:tabs>
                <w:tab w:val="decimal" w:pos="342"/>
              </w:tabs>
              <w:ind w:right="-270"/>
              <w:contextualSpacing/>
              <w:rPr>
                <w:vertAlign w:val="superscript"/>
              </w:rPr>
            </w:pPr>
            <w:r w:rsidRPr="00FE75AF">
              <w:t>-2.02 (1.22)</w:t>
            </w:r>
            <w:r>
              <w:rPr>
                <w:vertAlign w:val="superscript"/>
              </w:rPr>
              <w:t>**</w:t>
            </w:r>
          </w:p>
        </w:tc>
        <w:tc>
          <w:tcPr>
            <w:tcW w:w="1530" w:type="dxa"/>
          </w:tcPr>
          <w:p w:rsidR="00745B5C" w:rsidRPr="00FE75AF" w:rsidRDefault="00745B5C" w:rsidP="00452631">
            <w:pPr>
              <w:tabs>
                <w:tab w:val="decimal" w:pos="342"/>
              </w:tabs>
              <w:contextualSpacing/>
            </w:pPr>
            <w:r w:rsidRPr="00FE75AF">
              <w:t>-1.81 (1.40)</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Mid. East/North Africa (125)</w:t>
            </w:r>
          </w:p>
        </w:tc>
        <w:tc>
          <w:tcPr>
            <w:tcW w:w="1692" w:type="dxa"/>
          </w:tcPr>
          <w:p w:rsidR="00745B5C" w:rsidRPr="00FE75AF" w:rsidRDefault="00745B5C" w:rsidP="00452631">
            <w:pPr>
              <w:tabs>
                <w:tab w:val="decimal" w:pos="342"/>
              </w:tabs>
              <w:contextualSpacing/>
            </w:pPr>
            <w:r w:rsidRPr="00FE75AF">
              <w:t>-0.59 (.81)</w:t>
            </w:r>
          </w:p>
        </w:tc>
        <w:tc>
          <w:tcPr>
            <w:tcW w:w="1530" w:type="dxa"/>
          </w:tcPr>
          <w:p w:rsidR="00745B5C" w:rsidRPr="00FE75AF" w:rsidRDefault="00745B5C" w:rsidP="00452631">
            <w:pPr>
              <w:tabs>
                <w:tab w:val="decimal" w:pos="342"/>
              </w:tabs>
              <w:contextualSpacing/>
            </w:pPr>
            <w:r w:rsidRPr="00FE75AF">
              <w:t>-0.17 (.77)</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Oceania (5)</w:t>
            </w:r>
          </w:p>
        </w:tc>
        <w:tc>
          <w:tcPr>
            <w:tcW w:w="1692" w:type="dxa"/>
          </w:tcPr>
          <w:p w:rsidR="00745B5C" w:rsidRPr="00FE75AF" w:rsidRDefault="00745B5C" w:rsidP="00452631">
            <w:pPr>
              <w:tabs>
                <w:tab w:val="decimal" w:pos="342"/>
              </w:tabs>
              <w:contextualSpacing/>
              <w:rPr>
                <w:vertAlign w:val="superscript"/>
              </w:rPr>
            </w:pPr>
            <w:r w:rsidRPr="00FE75AF">
              <w:t>4.89 (1.77)</w:t>
            </w:r>
          </w:p>
        </w:tc>
        <w:tc>
          <w:tcPr>
            <w:tcW w:w="1530" w:type="dxa"/>
          </w:tcPr>
          <w:p w:rsidR="00745B5C" w:rsidRPr="00FE75AF" w:rsidRDefault="00745B5C" w:rsidP="00452631">
            <w:pPr>
              <w:tabs>
                <w:tab w:val="decimal" w:pos="342"/>
              </w:tabs>
              <w:contextualSpacing/>
            </w:pPr>
            <w:r w:rsidRPr="00FE75AF">
              <w:t>3.92 (2.77)</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rPr>
                <w:vertAlign w:val="superscript"/>
              </w:rPr>
            </w:pPr>
            <w:r w:rsidRPr="00FE75AF">
              <w:t>4.71 (1.95)</w:t>
            </w:r>
            <w:r>
              <w:rPr>
                <w:vertAlign w:val="superscript"/>
              </w:rPr>
              <w:t>*</w:t>
            </w:r>
          </w:p>
        </w:tc>
      </w:tr>
      <w:tr w:rsidR="00745B5C" w:rsidRPr="00FE75AF" w:rsidTr="00452631">
        <w:tc>
          <w:tcPr>
            <w:tcW w:w="2988" w:type="dxa"/>
          </w:tcPr>
          <w:p w:rsidR="00745B5C" w:rsidRPr="00FE75AF" w:rsidRDefault="00745B5C" w:rsidP="00452631">
            <w:pPr>
              <w:contextualSpacing/>
            </w:pPr>
            <w:r w:rsidRPr="00FE75AF">
              <w:t>Arctic (1)</w:t>
            </w:r>
          </w:p>
        </w:tc>
        <w:tc>
          <w:tcPr>
            <w:tcW w:w="1692" w:type="dxa"/>
          </w:tcPr>
          <w:p w:rsidR="00745B5C" w:rsidRPr="00FE75AF" w:rsidRDefault="00745B5C" w:rsidP="00452631">
            <w:pPr>
              <w:tabs>
                <w:tab w:val="decimal" w:pos="342"/>
              </w:tabs>
              <w:contextualSpacing/>
            </w:pPr>
            <w:r w:rsidRPr="00FE75AF">
              <w:t>-0.49 (1.63)</w:t>
            </w:r>
          </w:p>
        </w:tc>
        <w:tc>
          <w:tcPr>
            <w:tcW w:w="1530" w:type="dxa"/>
          </w:tcPr>
          <w:p w:rsidR="00745B5C" w:rsidRPr="00FE75AF" w:rsidRDefault="00745B5C" w:rsidP="00452631">
            <w:pPr>
              <w:tabs>
                <w:tab w:val="decimal" w:pos="342"/>
              </w:tabs>
              <w:contextualSpacing/>
            </w:pPr>
            <w:r w:rsidRPr="00FE75AF">
              <w:t>-2.07 (1.11)</w:t>
            </w: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p>
        </w:tc>
        <w:tc>
          <w:tcPr>
            <w:tcW w:w="1692"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Commodities (9)</w:t>
            </w:r>
          </w:p>
        </w:tc>
        <w:tc>
          <w:tcPr>
            <w:tcW w:w="1692" w:type="dxa"/>
          </w:tcPr>
          <w:p w:rsidR="00745B5C" w:rsidRPr="00FE75AF" w:rsidRDefault="00745B5C" w:rsidP="00452631">
            <w:pPr>
              <w:tabs>
                <w:tab w:val="decimal" w:pos="342"/>
              </w:tabs>
              <w:contextualSpacing/>
            </w:pPr>
            <w:r w:rsidRPr="00FE75AF">
              <w:t>-0.42 (1.24)</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-0.94 (1.17)</w:t>
            </w: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Currencies (11)</w:t>
            </w:r>
          </w:p>
        </w:tc>
        <w:tc>
          <w:tcPr>
            <w:tcW w:w="1692" w:type="dxa"/>
          </w:tcPr>
          <w:p w:rsidR="00745B5C" w:rsidRPr="00FE75AF" w:rsidRDefault="00745B5C" w:rsidP="00452631">
            <w:pPr>
              <w:tabs>
                <w:tab w:val="decimal" w:pos="342"/>
              </w:tabs>
              <w:contextualSpacing/>
              <w:rPr>
                <w:vertAlign w:val="superscript"/>
              </w:rPr>
            </w:pPr>
            <w:r w:rsidRPr="00FE75AF">
              <w:t>-2.75 (1.21)</w:t>
            </w:r>
            <w:r>
              <w:rPr>
                <w:vertAlign w:val="superscript"/>
              </w:rPr>
              <w:t>*</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-1.84 (1.02)</w:t>
            </w:r>
          </w:p>
        </w:tc>
        <w:tc>
          <w:tcPr>
            <w:tcW w:w="1530" w:type="dxa"/>
          </w:tcPr>
          <w:p w:rsidR="00745B5C" w:rsidRPr="00FE75AF" w:rsidRDefault="00745B5C" w:rsidP="00452631">
            <w:pPr>
              <w:tabs>
                <w:tab w:val="decimal" w:pos="342"/>
              </w:tabs>
              <w:ind w:right="-468"/>
              <w:contextualSpacing/>
              <w:rPr>
                <w:vertAlign w:val="superscript"/>
              </w:rPr>
            </w:pPr>
            <w:r w:rsidRPr="00FE75AF">
              <w:t>-2.84 (1.37</w:t>
            </w:r>
            <w:r>
              <w:t>)</w:t>
            </w:r>
            <w:r>
              <w:rPr>
                <w:vertAlign w:val="superscript"/>
              </w:rPr>
              <w:t>*</w:t>
            </w:r>
          </w:p>
        </w:tc>
      </w:tr>
      <w:tr w:rsidR="00745B5C" w:rsidRPr="00FE75AF" w:rsidTr="00452631">
        <w:tc>
          <w:tcPr>
            <w:tcW w:w="2988" w:type="dxa"/>
          </w:tcPr>
          <w:p w:rsidR="00745B5C" w:rsidRPr="00FE75AF" w:rsidRDefault="00745B5C" w:rsidP="00452631">
            <w:pPr>
              <w:contextualSpacing/>
            </w:pPr>
            <w:r w:rsidRPr="00FE75AF">
              <w:t>Diplomatic Relations (60)</w:t>
            </w:r>
          </w:p>
        </w:tc>
        <w:tc>
          <w:tcPr>
            <w:tcW w:w="1692" w:type="dxa"/>
          </w:tcPr>
          <w:p w:rsidR="00745B5C" w:rsidRPr="00FE75AF" w:rsidRDefault="00745B5C" w:rsidP="00452631">
            <w:pPr>
              <w:tabs>
                <w:tab w:val="decimal" w:pos="342"/>
              </w:tabs>
              <w:contextualSpacing/>
            </w:pPr>
            <w:r w:rsidRPr="00FE75AF">
              <w:t>1.26 (.82)</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1.41 (.83)</w:t>
            </w:r>
          </w:p>
        </w:tc>
        <w:tc>
          <w:tcPr>
            <w:tcW w:w="1530" w:type="dxa"/>
          </w:tcPr>
          <w:p w:rsidR="00745B5C" w:rsidRPr="00FE75AF" w:rsidRDefault="00745B5C" w:rsidP="00452631">
            <w:pPr>
              <w:tabs>
                <w:tab w:val="decimal" w:pos="342"/>
              </w:tabs>
              <w:ind w:right="-468"/>
              <w:contextualSpacing/>
              <w:rPr>
                <w:vertAlign w:val="superscript"/>
              </w:rPr>
            </w:pPr>
            <w:r w:rsidRPr="00FE75AF">
              <w:t>1.36 (.61)</w:t>
            </w:r>
            <w:r>
              <w:rPr>
                <w:vertAlign w:val="superscript"/>
              </w:rPr>
              <w:t>*</w:t>
            </w:r>
          </w:p>
        </w:tc>
      </w:tr>
      <w:tr w:rsidR="00745B5C" w:rsidRPr="00FE75AF" w:rsidTr="00452631">
        <w:tc>
          <w:tcPr>
            <w:tcW w:w="2988" w:type="dxa"/>
          </w:tcPr>
          <w:p w:rsidR="00745B5C" w:rsidRPr="00FE75AF" w:rsidRDefault="00745B5C" w:rsidP="00452631">
            <w:pPr>
              <w:contextualSpacing/>
            </w:pPr>
            <w:r w:rsidRPr="00FE75AF">
              <w:t>Domestic Conflict (85)</w:t>
            </w:r>
          </w:p>
        </w:tc>
        <w:tc>
          <w:tcPr>
            <w:tcW w:w="1692" w:type="dxa"/>
          </w:tcPr>
          <w:p w:rsidR="00745B5C" w:rsidRPr="00FE75AF" w:rsidRDefault="00745B5C" w:rsidP="00452631">
            <w:pPr>
              <w:tabs>
                <w:tab w:val="decimal" w:pos="342"/>
              </w:tabs>
              <w:contextualSpacing/>
            </w:pPr>
            <w:r w:rsidRPr="00FE75AF">
              <w:t>-0.38 (.74)</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-0.56 (.72)</w:t>
            </w: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Economic Growth (39)</w:t>
            </w:r>
          </w:p>
        </w:tc>
        <w:tc>
          <w:tcPr>
            <w:tcW w:w="1692" w:type="dxa"/>
          </w:tcPr>
          <w:p w:rsidR="00745B5C" w:rsidRPr="00FE75AF" w:rsidRDefault="00745B5C" w:rsidP="00452631">
            <w:pPr>
              <w:tabs>
                <w:tab w:val="decimal" w:pos="342"/>
              </w:tabs>
              <w:contextualSpacing/>
            </w:pPr>
            <w:r w:rsidRPr="00FE75AF">
              <w:t>-1.68 (.89)</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rPr>
                <w:vertAlign w:val="superscript"/>
              </w:rPr>
            </w:pPr>
            <w:r w:rsidRPr="00FE75AF">
              <w:t>-1.98 (.81)</w:t>
            </w:r>
            <w:r>
              <w:rPr>
                <w:vertAlign w:val="superscript"/>
              </w:rPr>
              <w:t>*</w:t>
            </w:r>
          </w:p>
        </w:tc>
        <w:tc>
          <w:tcPr>
            <w:tcW w:w="1530" w:type="dxa"/>
          </w:tcPr>
          <w:p w:rsidR="00745B5C" w:rsidRPr="00FE75AF" w:rsidRDefault="00745B5C" w:rsidP="00452631">
            <w:pPr>
              <w:tabs>
                <w:tab w:val="decimal" w:pos="342"/>
              </w:tabs>
              <w:ind w:right="-468"/>
              <w:contextualSpacing/>
            </w:pPr>
            <w:r w:rsidRPr="00FE75AF">
              <w:t>-1.41 (.75)</w:t>
            </w:r>
          </w:p>
        </w:tc>
      </w:tr>
      <w:tr w:rsidR="00745B5C" w:rsidRPr="00FE75AF" w:rsidTr="00452631">
        <w:tc>
          <w:tcPr>
            <w:tcW w:w="2988" w:type="dxa"/>
          </w:tcPr>
          <w:p w:rsidR="00745B5C" w:rsidRPr="00FE75AF" w:rsidRDefault="00745B5C" w:rsidP="00452631">
            <w:pPr>
              <w:contextualSpacing/>
            </w:pPr>
            <w:r w:rsidRPr="00FE75AF">
              <w:t>Elections (49)</w:t>
            </w:r>
          </w:p>
        </w:tc>
        <w:tc>
          <w:tcPr>
            <w:tcW w:w="1692" w:type="dxa"/>
          </w:tcPr>
          <w:p w:rsidR="00745B5C" w:rsidRPr="00FE75AF" w:rsidRDefault="00745B5C" w:rsidP="00452631">
            <w:pPr>
              <w:tabs>
                <w:tab w:val="decimal" w:pos="342"/>
              </w:tabs>
              <w:contextualSpacing/>
              <w:rPr>
                <w:vertAlign w:val="superscript"/>
              </w:rPr>
            </w:pPr>
            <w:r w:rsidRPr="00FE75AF">
              <w:t>-2.21 (.73)</w:t>
            </w:r>
            <w:r>
              <w:rPr>
                <w:vertAlign w:val="superscript"/>
              </w:rPr>
              <w:t>**</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rPr>
                <w:vertAlign w:val="superscript"/>
              </w:rPr>
            </w:pPr>
            <w:r w:rsidRPr="00FE75AF">
              <w:t>-2.44 (.71)</w:t>
            </w:r>
            <w:r>
              <w:rPr>
                <w:vertAlign w:val="superscript"/>
              </w:rPr>
              <w:t>***</w:t>
            </w:r>
          </w:p>
        </w:tc>
        <w:tc>
          <w:tcPr>
            <w:tcW w:w="1530" w:type="dxa"/>
          </w:tcPr>
          <w:p w:rsidR="00745B5C" w:rsidRPr="00FE75AF" w:rsidRDefault="00745B5C" w:rsidP="00452631">
            <w:pPr>
              <w:tabs>
                <w:tab w:val="decimal" w:pos="342"/>
              </w:tabs>
              <w:ind w:right="-468"/>
              <w:contextualSpacing/>
              <w:rPr>
                <w:vertAlign w:val="superscript"/>
              </w:rPr>
            </w:pPr>
            <w:r w:rsidRPr="00FE75AF">
              <w:t>-2.27 (.67)</w:t>
            </w:r>
            <w:r>
              <w:rPr>
                <w:vertAlign w:val="superscript"/>
              </w:rPr>
              <w:t>***</w:t>
            </w:r>
          </w:p>
        </w:tc>
      </w:tr>
      <w:tr w:rsidR="00745B5C" w:rsidRPr="00FE75AF" w:rsidTr="00452631">
        <w:tc>
          <w:tcPr>
            <w:tcW w:w="2988" w:type="dxa"/>
          </w:tcPr>
          <w:p w:rsidR="00745B5C" w:rsidRPr="00FE75AF" w:rsidRDefault="00745B5C" w:rsidP="00452631">
            <w:pPr>
              <w:contextualSpacing/>
            </w:pPr>
            <w:r w:rsidRPr="00FE75AF">
              <w:t>Int’l Organizations (33)</w:t>
            </w:r>
          </w:p>
        </w:tc>
        <w:tc>
          <w:tcPr>
            <w:tcW w:w="1692" w:type="dxa"/>
          </w:tcPr>
          <w:p w:rsidR="00745B5C" w:rsidRPr="00FE75AF" w:rsidRDefault="00745B5C" w:rsidP="00452631">
            <w:pPr>
              <w:tabs>
                <w:tab w:val="decimal" w:pos="342"/>
              </w:tabs>
              <w:contextualSpacing/>
            </w:pPr>
            <w:r w:rsidRPr="00FE75AF">
              <w:t>0.81 (.97)</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0.50 (.90)</w:t>
            </w: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Int’l Security (75)</w:t>
            </w:r>
          </w:p>
        </w:tc>
        <w:tc>
          <w:tcPr>
            <w:tcW w:w="1692" w:type="dxa"/>
          </w:tcPr>
          <w:p w:rsidR="00745B5C" w:rsidRPr="00FE75AF" w:rsidRDefault="00745B5C" w:rsidP="00452631">
            <w:pPr>
              <w:tabs>
                <w:tab w:val="decimal" w:pos="342"/>
              </w:tabs>
              <w:contextualSpacing/>
            </w:pPr>
            <w:r w:rsidRPr="00FE75AF">
              <w:t>0.41 (.70)</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0.31 (.70)</w:t>
            </w: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Leaders (47)</w:t>
            </w:r>
          </w:p>
        </w:tc>
        <w:tc>
          <w:tcPr>
            <w:tcW w:w="1692" w:type="dxa"/>
          </w:tcPr>
          <w:p w:rsidR="00745B5C" w:rsidRPr="00FE75AF" w:rsidRDefault="00745B5C" w:rsidP="00452631">
            <w:pPr>
              <w:tabs>
                <w:tab w:val="decimal" w:pos="342"/>
              </w:tabs>
              <w:contextualSpacing/>
            </w:pPr>
            <w:r w:rsidRPr="00FE75AF">
              <w:t>1.39 (.96)</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1.44 (.95)</w:t>
            </w:r>
          </w:p>
        </w:tc>
        <w:tc>
          <w:tcPr>
            <w:tcW w:w="1530" w:type="dxa"/>
          </w:tcPr>
          <w:p w:rsidR="00745B5C" w:rsidRPr="00FE75AF" w:rsidRDefault="00745B5C" w:rsidP="00452631">
            <w:pPr>
              <w:tabs>
                <w:tab w:val="decimal" w:pos="342"/>
              </w:tabs>
              <w:ind w:right="-468"/>
              <w:contextualSpacing/>
              <w:rPr>
                <w:vertAlign w:val="superscript"/>
              </w:rPr>
            </w:pPr>
            <w:r w:rsidRPr="00FE75AF">
              <w:t>1.45 (.69)</w:t>
            </w:r>
            <w:r>
              <w:rPr>
                <w:vertAlign w:val="superscript"/>
              </w:rPr>
              <w:t>*</w:t>
            </w:r>
          </w:p>
        </w:tc>
      </w:tr>
      <w:tr w:rsidR="00745B5C" w:rsidRPr="00FE75AF" w:rsidTr="00452631">
        <w:tc>
          <w:tcPr>
            <w:tcW w:w="2988" w:type="dxa"/>
          </w:tcPr>
          <w:p w:rsidR="00745B5C" w:rsidRPr="00FE75AF" w:rsidRDefault="00745B5C" w:rsidP="00452631">
            <w:pPr>
              <w:contextualSpacing/>
            </w:pPr>
            <w:r w:rsidRPr="00FE75AF">
              <w:t>Public Health (3)</w:t>
            </w:r>
          </w:p>
        </w:tc>
        <w:tc>
          <w:tcPr>
            <w:tcW w:w="1692" w:type="dxa"/>
          </w:tcPr>
          <w:p w:rsidR="00745B5C" w:rsidRPr="00FE75AF" w:rsidRDefault="00745B5C" w:rsidP="00452631">
            <w:pPr>
              <w:tabs>
                <w:tab w:val="decimal" w:pos="342"/>
              </w:tabs>
              <w:contextualSpacing/>
              <w:rPr>
                <w:vertAlign w:val="superscript"/>
              </w:rPr>
            </w:pPr>
            <w:r w:rsidRPr="00FE75AF">
              <w:t>-2.57 (1.01)</w:t>
            </w:r>
            <w:r>
              <w:rPr>
                <w:vertAlign w:val="superscript"/>
              </w:rPr>
              <w:t>*</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ind w:right="-648"/>
              <w:contextualSpacing/>
              <w:rPr>
                <w:vertAlign w:val="superscript"/>
              </w:rPr>
            </w:pPr>
            <w:r w:rsidRPr="00FE75AF">
              <w:t>-3.87 (1.02)</w:t>
            </w:r>
            <w:r>
              <w:rPr>
                <w:vertAlign w:val="superscript"/>
              </w:rPr>
              <w:t>***</w:t>
            </w:r>
          </w:p>
        </w:tc>
        <w:tc>
          <w:tcPr>
            <w:tcW w:w="1530" w:type="dxa"/>
          </w:tcPr>
          <w:p w:rsidR="00745B5C" w:rsidRPr="00FE75AF" w:rsidRDefault="00745B5C" w:rsidP="00452631">
            <w:pPr>
              <w:tabs>
                <w:tab w:val="decimal" w:pos="342"/>
              </w:tabs>
              <w:ind w:right="-468"/>
              <w:contextualSpacing/>
            </w:pPr>
            <w:r w:rsidRPr="00FE75AF">
              <w:t>-3.34 (2.39)</w:t>
            </w:r>
          </w:p>
        </w:tc>
      </w:tr>
      <w:tr w:rsidR="00745B5C" w:rsidRPr="00FE75AF" w:rsidTr="00452631">
        <w:tc>
          <w:tcPr>
            <w:tcW w:w="2988" w:type="dxa"/>
          </w:tcPr>
          <w:p w:rsidR="00745B5C" w:rsidRPr="00FE75AF" w:rsidRDefault="00745B5C" w:rsidP="00452631">
            <w:pPr>
              <w:contextualSpacing/>
            </w:pPr>
            <w:r w:rsidRPr="00FE75AF">
              <w:t>Resources (17)</w:t>
            </w:r>
          </w:p>
        </w:tc>
        <w:tc>
          <w:tcPr>
            <w:tcW w:w="1692" w:type="dxa"/>
          </w:tcPr>
          <w:p w:rsidR="00745B5C" w:rsidRPr="00FE75AF" w:rsidRDefault="00745B5C" w:rsidP="00452631">
            <w:pPr>
              <w:tabs>
                <w:tab w:val="decimal" w:pos="342"/>
              </w:tabs>
              <w:contextualSpacing/>
            </w:pPr>
            <w:r w:rsidRPr="00FE75AF">
              <w:t>0.39 (.98)</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-0.06 (.89)</w:t>
            </w: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Technology (4)</w:t>
            </w:r>
          </w:p>
        </w:tc>
        <w:tc>
          <w:tcPr>
            <w:tcW w:w="1692" w:type="dxa"/>
          </w:tcPr>
          <w:p w:rsidR="00745B5C" w:rsidRPr="00FE75AF" w:rsidRDefault="00745B5C" w:rsidP="00452631">
            <w:pPr>
              <w:tabs>
                <w:tab w:val="decimal" w:pos="342"/>
              </w:tabs>
              <w:contextualSpacing/>
              <w:rPr>
                <w:vertAlign w:val="superscript"/>
              </w:rPr>
            </w:pPr>
            <w:r w:rsidRPr="00FE75AF">
              <w:t>2.80 (1.11)</w:t>
            </w:r>
            <w:r>
              <w:rPr>
                <w:vertAlign w:val="superscript"/>
              </w:rPr>
              <w:t>*</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rPr>
                <w:vertAlign w:val="superscript"/>
              </w:rPr>
            </w:pPr>
            <w:r w:rsidRPr="00FE75AF">
              <w:t>2.16 (.61)</w:t>
            </w:r>
            <w:r>
              <w:rPr>
                <w:vertAlign w:val="superscript"/>
              </w:rPr>
              <w:t>***</w:t>
            </w: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Trade (22)</w:t>
            </w:r>
          </w:p>
        </w:tc>
        <w:tc>
          <w:tcPr>
            <w:tcW w:w="1692" w:type="dxa"/>
          </w:tcPr>
          <w:p w:rsidR="00745B5C" w:rsidRPr="00FE75AF" w:rsidRDefault="00745B5C" w:rsidP="00452631">
            <w:pPr>
              <w:tabs>
                <w:tab w:val="decimal" w:pos="342"/>
              </w:tabs>
              <w:ind w:right="-288"/>
              <w:contextualSpacing/>
              <w:rPr>
                <w:vertAlign w:val="superscript"/>
              </w:rPr>
            </w:pPr>
            <w:r w:rsidRPr="00FE75AF">
              <w:t>-3.41 (.83)</w:t>
            </w:r>
            <w:r>
              <w:rPr>
                <w:vertAlign w:val="superscript"/>
              </w:rPr>
              <w:t>***</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rPr>
                <w:vertAlign w:val="superscript"/>
              </w:rPr>
            </w:pPr>
            <w:r w:rsidRPr="00FE75AF">
              <w:t>-2.01 (.77)</w:t>
            </w:r>
            <w:r>
              <w:rPr>
                <w:vertAlign w:val="superscript"/>
              </w:rPr>
              <w:t>**</w:t>
            </w:r>
          </w:p>
        </w:tc>
        <w:tc>
          <w:tcPr>
            <w:tcW w:w="1530" w:type="dxa"/>
          </w:tcPr>
          <w:p w:rsidR="00745B5C" w:rsidRPr="00FE75AF" w:rsidRDefault="00745B5C" w:rsidP="00452631">
            <w:pPr>
              <w:tabs>
                <w:tab w:val="decimal" w:pos="342"/>
              </w:tabs>
              <w:ind w:right="-468"/>
              <w:contextualSpacing/>
              <w:rPr>
                <w:vertAlign w:val="superscript"/>
              </w:rPr>
            </w:pPr>
            <w:r w:rsidRPr="00FE75AF">
              <w:t>-3.20 (.98)</w:t>
            </w:r>
            <w:r>
              <w:rPr>
                <w:vertAlign w:val="superscript"/>
              </w:rPr>
              <w:t>***</w:t>
            </w:r>
          </w:p>
        </w:tc>
      </w:tr>
      <w:tr w:rsidR="00745B5C" w:rsidRPr="00FE75AF" w:rsidTr="00452631">
        <w:tc>
          <w:tcPr>
            <w:tcW w:w="2988" w:type="dxa"/>
          </w:tcPr>
          <w:p w:rsidR="00745B5C" w:rsidRPr="00FE75AF" w:rsidRDefault="00745B5C" w:rsidP="00452631">
            <w:pPr>
              <w:contextualSpacing/>
            </w:pPr>
            <w:r w:rsidRPr="00FE75AF">
              <w:t>Treaties (41)</w:t>
            </w:r>
          </w:p>
        </w:tc>
        <w:tc>
          <w:tcPr>
            <w:tcW w:w="1692" w:type="dxa"/>
          </w:tcPr>
          <w:p w:rsidR="00745B5C" w:rsidRPr="00FE75AF" w:rsidRDefault="00745B5C" w:rsidP="00452631">
            <w:pPr>
              <w:tabs>
                <w:tab w:val="decimal" w:pos="342"/>
              </w:tabs>
              <w:contextualSpacing/>
            </w:pPr>
            <w:r w:rsidRPr="00FE75AF">
              <w:t>-0.05 (.73)</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-0.07 (.69)</w:t>
            </w: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Weapons (28)</w:t>
            </w:r>
          </w:p>
        </w:tc>
        <w:tc>
          <w:tcPr>
            <w:tcW w:w="1692" w:type="dxa"/>
          </w:tcPr>
          <w:p w:rsidR="00745B5C" w:rsidRPr="00FE75AF" w:rsidRDefault="00745B5C" w:rsidP="00452631">
            <w:pPr>
              <w:tabs>
                <w:tab w:val="decimal" w:pos="342"/>
              </w:tabs>
              <w:contextualSpacing/>
            </w:pPr>
            <w:r w:rsidRPr="00FE75AF">
              <w:t>-0.76 (.84)</w:t>
            </w: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r w:rsidRPr="00FE75AF">
              <w:t>-0.71 (.81)</w:t>
            </w: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p>
        </w:tc>
        <w:tc>
          <w:tcPr>
            <w:tcW w:w="1692"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contextualSpacing/>
            </w:pPr>
          </w:p>
        </w:tc>
        <w:tc>
          <w:tcPr>
            <w:tcW w:w="1710" w:type="dxa"/>
          </w:tcPr>
          <w:p w:rsidR="00745B5C" w:rsidRPr="00FE75AF" w:rsidRDefault="00745B5C" w:rsidP="00452631">
            <w:pPr>
              <w:tabs>
                <w:tab w:val="decimal" w:pos="342"/>
              </w:tabs>
              <w:contextualSpacing/>
            </w:pPr>
          </w:p>
        </w:tc>
        <w:tc>
          <w:tcPr>
            <w:tcW w:w="1530" w:type="dxa"/>
          </w:tcPr>
          <w:p w:rsidR="00745B5C" w:rsidRPr="00FE75AF" w:rsidRDefault="00745B5C" w:rsidP="00452631">
            <w:pPr>
              <w:tabs>
                <w:tab w:val="decimal" w:pos="342"/>
              </w:tabs>
              <w:ind w:right="-468"/>
              <w:contextualSpacing/>
            </w:pPr>
          </w:p>
        </w:tc>
      </w:tr>
      <w:tr w:rsidR="00745B5C" w:rsidRPr="00FE75AF" w:rsidTr="00452631">
        <w:tc>
          <w:tcPr>
            <w:tcW w:w="2988" w:type="dxa"/>
          </w:tcPr>
          <w:p w:rsidR="00745B5C" w:rsidRPr="00FE75AF" w:rsidRDefault="00745B5C" w:rsidP="00452631">
            <w:pPr>
              <w:contextualSpacing/>
            </w:pPr>
            <w:r w:rsidRPr="00FE75AF">
              <w:t>Constant</w:t>
            </w:r>
          </w:p>
        </w:tc>
        <w:tc>
          <w:tcPr>
            <w:tcW w:w="1692" w:type="dxa"/>
          </w:tcPr>
          <w:p w:rsidR="00745B5C" w:rsidRPr="00FE75AF" w:rsidRDefault="00745B5C" w:rsidP="00452631">
            <w:pPr>
              <w:tabs>
                <w:tab w:val="decimal" w:pos="342"/>
              </w:tabs>
              <w:ind w:right="-198"/>
              <w:contextualSpacing/>
              <w:rPr>
                <w:vertAlign w:val="superscript"/>
              </w:rPr>
            </w:pPr>
            <w:r w:rsidRPr="00FE75AF">
              <w:t>6.84 (1.15)</w:t>
            </w:r>
            <w:r>
              <w:rPr>
                <w:vertAlign w:val="superscript"/>
              </w:rPr>
              <w:t>***</w:t>
            </w:r>
          </w:p>
        </w:tc>
        <w:tc>
          <w:tcPr>
            <w:tcW w:w="1530" w:type="dxa"/>
          </w:tcPr>
          <w:p w:rsidR="00745B5C" w:rsidRPr="00FE75AF" w:rsidRDefault="00745B5C" w:rsidP="00452631">
            <w:pPr>
              <w:tabs>
                <w:tab w:val="decimal" w:pos="342"/>
              </w:tabs>
              <w:contextualSpacing/>
              <w:rPr>
                <w:vertAlign w:val="superscript"/>
              </w:rPr>
            </w:pPr>
            <w:r w:rsidRPr="00FE75AF">
              <w:t>6.48 (.74)</w:t>
            </w:r>
            <w:r>
              <w:rPr>
                <w:vertAlign w:val="superscript"/>
              </w:rPr>
              <w:t>***</w:t>
            </w:r>
          </w:p>
        </w:tc>
        <w:tc>
          <w:tcPr>
            <w:tcW w:w="1710" w:type="dxa"/>
          </w:tcPr>
          <w:p w:rsidR="00745B5C" w:rsidRPr="00FE75AF" w:rsidRDefault="00745B5C" w:rsidP="00452631">
            <w:pPr>
              <w:tabs>
                <w:tab w:val="decimal" w:pos="342"/>
              </w:tabs>
              <w:contextualSpacing/>
              <w:rPr>
                <w:vertAlign w:val="superscript"/>
              </w:rPr>
            </w:pPr>
            <w:r w:rsidRPr="00FE75AF">
              <w:t>6.53 (.70)</w:t>
            </w:r>
            <w:r>
              <w:rPr>
                <w:vertAlign w:val="superscript"/>
              </w:rPr>
              <w:t>***</w:t>
            </w:r>
          </w:p>
        </w:tc>
        <w:tc>
          <w:tcPr>
            <w:tcW w:w="1530" w:type="dxa"/>
          </w:tcPr>
          <w:p w:rsidR="00745B5C" w:rsidRPr="00FE75AF" w:rsidRDefault="00745B5C" w:rsidP="00452631">
            <w:pPr>
              <w:tabs>
                <w:tab w:val="decimal" w:pos="342"/>
              </w:tabs>
              <w:ind w:right="-468"/>
              <w:contextualSpacing/>
              <w:rPr>
                <w:vertAlign w:val="superscript"/>
              </w:rPr>
            </w:pPr>
            <w:r w:rsidRPr="00FE75AF">
              <w:t>6.35 (.31)</w:t>
            </w:r>
            <w:r>
              <w:rPr>
                <w:vertAlign w:val="superscript"/>
              </w:rPr>
              <w:t>***</w:t>
            </w:r>
          </w:p>
        </w:tc>
      </w:tr>
      <w:tr w:rsidR="00745B5C" w:rsidRPr="00FE75AF" w:rsidTr="00452631">
        <w:tc>
          <w:tcPr>
            <w:tcW w:w="2988" w:type="dxa"/>
          </w:tcPr>
          <w:p w:rsidR="00745B5C" w:rsidRPr="00FE75AF" w:rsidRDefault="00745B5C" w:rsidP="00452631">
            <w:pPr>
              <w:contextualSpacing/>
            </w:pPr>
          </w:p>
        </w:tc>
        <w:tc>
          <w:tcPr>
            <w:tcW w:w="1692" w:type="dxa"/>
          </w:tcPr>
          <w:p w:rsidR="00745B5C" w:rsidRPr="00FE75AF" w:rsidRDefault="00745B5C" w:rsidP="00452631">
            <w:pPr>
              <w:contextualSpacing/>
            </w:pPr>
          </w:p>
        </w:tc>
        <w:tc>
          <w:tcPr>
            <w:tcW w:w="1530" w:type="dxa"/>
          </w:tcPr>
          <w:p w:rsidR="00745B5C" w:rsidRPr="00FE75AF" w:rsidRDefault="00745B5C" w:rsidP="00452631">
            <w:pPr>
              <w:contextualSpacing/>
            </w:pPr>
          </w:p>
        </w:tc>
        <w:tc>
          <w:tcPr>
            <w:tcW w:w="1710" w:type="dxa"/>
          </w:tcPr>
          <w:p w:rsidR="00745B5C" w:rsidRPr="00FE75AF" w:rsidRDefault="00745B5C" w:rsidP="00452631">
            <w:pPr>
              <w:contextualSpacing/>
            </w:pPr>
          </w:p>
        </w:tc>
        <w:tc>
          <w:tcPr>
            <w:tcW w:w="1530" w:type="dxa"/>
          </w:tcPr>
          <w:p w:rsidR="00745B5C" w:rsidRPr="00FE75AF" w:rsidRDefault="00745B5C" w:rsidP="00452631">
            <w:pPr>
              <w:ind w:right="-468"/>
              <w:contextualSpacing/>
            </w:pPr>
          </w:p>
        </w:tc>
      </w:tr>
      <w:tr w:rsidR="00745B5C" w:rsidRPr="00FE75AF" w:rsidTr="00452631">
        <w:tc>
          <w:tcPr>
            <w:tcW w:w="2988" w:type="dxa"/>
          </w:tcPr>
          <w:p w:rsidR="00745B5C" w:rsidRPr="00FE75AF" w:rsidRDefault="00745B5C" w:rsidP="00452631">
            <w:pPr>
              <w:contextualSpacing/>
              <w:rPr>
                <w:vertAlign w:val="superscript"/>
              </w:rPr>
            </w:pPr>
            <w:r w:rsidRPr="00FE75AF">
              <w:t>Observations</w:t>
            </w:r>
          </w:p>
        </w:tc>
        <w:tc>
          <w:tcPr>
            <w:tcW w:w="1692" w:type="dxa"/>
          </w:tcPr>
          <w:p w:rsidR="00745B5C" w:rsidRPr="00FE75AF" w:rsidRDefault="00745B5C" w:rsidP="00452631">
            <w:pPr>
              <w:ind w:left="252"/>
              <w:contextualSpacing/>
            </w:pPr>
            <w:r w:rsidRPr="00FE75AF">
              <w:t>375</w:t>
            </w:r>
          </w:p>
        </w:tc>
        <w:tc>
          <w:tcPr>
            <w:tcW w:w="1530" w:type="dxa"/>
          </w:tcPr>
          <w:p w:rsidR="00745B5C" w:rsidRPr="00FE75AF" w:rsidRDefault="00745B5C" w:rsidP="00452631">
            <w:pPr>
              <w:ind w:left="252"/>
              <w:contextualSpacing/>
            </w:pPr>
            <w:r w:rsidRPr="00FE75AF">
              <w:t>375</w:t>
            </w:r>
          </w:p>
        </w:tc>
        <w:tc>
          <w:tcPr>
            <w:tcW w:w="1710" w:type="dxa"/>
          </w:tcPr>
          <w:p w:rsidR="00745B5C" w:rsidRPr="00FE75AF" w:rsidRDefault="00745B5C" w:rsidP="00452631">
            <w:pPr>
              <w:ind w:left="252"/>
              <w:contextualSpacing/>
            </w:pPr>
            <w:r w:rsidRPr="00FE75AF">
              <w:t>375</w:t>
            </w:r>
          </w:p>
        </w:tc>
        <w:tc>
          <w:tcPr>
            <w:tcW w:w="1530" w:type="dxa"/>
          </w:tcPr>
          <w:p w:rsidR="00745B5C" w:rsidRPr="00FE75AF" w:rsidRDefault="00745B5C" w:rsidP="00452631">
            <w:pPr>
              <w:ind w:left="252"/>
              <w:contextualSpacing/>
            </w:pPr>
            <w:r w:rsidRPr="00FE75AF">
              <w:t>375</w:t>
            </w:r>
          </w:p>
        </w:tc>
      </w:tr>
      <w:tr w:rsidR="00745B5C" w:rsidRPr="00FE75AF" w:rsidTr="00452631">
        <w:tc>
          <w:tcPr>
            <w:tcW w:w="2988" w:type="dxa"/>
          </w:tcPr>
          <w:p w:rsidR="00745B5C" w:rsidRPr="00FE75AF" w:rsidRDefault="00745B5C" w:rsidP="00452631">
            <w:pPr>
              <w:contextualSpacing/>
              <w:rPr>
                <w:vertAlign w:val="superscript"/>
              </w:rPr>
            </w:pPr>
            <w:r w:rsidRPr="00FE75AF">
              <w:t>R</w:t>
            </w:r>
            <w:r w:rsidRPr="00FE75AF">
              <w:rPr>
                <w:vertAlign w:val="superscript"/>
              </w:rPr>
              <w:t>2</w:t>
            </w:r>
          </w:p>
        </w:tc>
        <w:tc>
          <w:tcPr>
            <w:tcW w:w="1692" w:type="dxa"/>
          </w:tcPr>
          <w:p w:rsidR="00745B5C" w:rsidRPr="00FE75AF" w:rsidRDefault="00745B5C" w:rsidP="00452631">
            <w:pPr>
              <w:ind w:left="252"/>
              <w:contextualSpacing/>
            </w:pPr>
            <w:r w:rsidRPr="00FE75AF">
              <w:t>0.16</w:t>
            </w:r>
          </w:p>
        </w:tc>
        <w:tc>
          <w:tcPr>
            <w:tcW w:w="1530" w:type="dxa"/>
          </w:tcPr>
          <w:p w:rsidR="00745B5C" w:rsidRPr="00FE75AF" w:rsidRDefault="00745B5C" w:rsidP="00452631">
            <w:pPr>
              <w:ind w:left="252"/>
              <w:contextualSpacing/>
            </w:pPr>
            <w:r w:rsidRPr="00FE75AF">
              <w:t>0.05</w:t>
            </w:r>
          </w:p>
        </w:tc>
        <w:tc>
          <w:tcPr>
            <w:tcW w:w="1710" w:type="dxa"/>
          </w:tcPr>
          <w:p w:rsidR="00745B5C" w:rsidRPr="00FE75AF" w:rsidRDefault="00745B5C" w:rsidP="00452631">
            <w:pPr>
              <w:ind w:left="252"/>
              <w:contextualSpacing/>
            </w:pPr>
            <w:r w:rsidRPr="00FE75AF">
              <w:t>0.11</w:t>
            </w:r>
          </w:p>
        </w:tc>
        <w:tc>
          <w:tcPr>
            <w:tcW w:w="1530" w:type="dxa"/>
          </w:tcPr>
          <w:p w:rsidR="00745B5C" w:rsidRPr="00FE75AF" w:rsidRDefault="00745B5C" w:rsidP="00452631">
            <w:pPr>
              <w:ind w:left="252"/>
              <w:contextualSpacing/>
            </w:pPr>
            <w:r w:rsidRPr="00FE75AF">
              <w:t>0.15</w:t>
            </w:r>
          </w:p>
        </w:tc>
      </w:tr>
      <w:tr w:rsidR="00745B5C" w:rsidRPr="00FE75AF" w:rsidTr="00452631">
        <w:tc>
          <w:tcPr>
            <w:tcW w:w="2988" w:type="dxa"/>
          </w:tcPr>
          <w:p w:rsidR="00745B5C" w:rsidRPr="00FE75AF" w:rsidRDefault="00745B5C" w:rsidP="00452631">
            <w:pPr>
              <w:contextualSpacing/>
            </w:pPr>
            <w:r w:rsidRPr="00FE75AF">
              <w:t>AIC</w:t>
            </w:r>
          </w:p>
        </w:tc>
        <w:tc>
          <w:tcPr>
            <w:tcW w:w="1692" w:type="dxa"/>
          </w:tcPr>
          <w:p w:rsidR="00745B5C" w:rsidRPr="00FE75AF" w:rsidRDefault="00745B5C" w:rsidP="00452631">
            <w:pPr>
              <w:ind w:left="252"/>
              <w:contextualSpacing/>
            </w:pPr>
            <w:r w:rsidRPr="00FE75AF">
              <w:t>2,153</w:t>
            </w:r>
          </w:p>
        </w:tc>
        <w:tc>
          <w:tcPr>
            <w:tcW w:w="1530" w:type="dxa"/>
          </w:tcPr>
          <w:p w:rsidR="00745B5C" w:rsidRPr="00FE75AF" w:rsidRDefault="00745B5C" w:rsidP="00452631">
            <w:pPr>
              <w:ind w:left="252"/>
              <w:contextualSpacing/>
            </w:pPr>
            <w:r w:rsidRPr="00FE75AF">
              <w:t>2,169</w:t>
            </w:r>
          </w:p>
        </w:tc>
        <w:tc>
          <w:tcPr>
            <w:tcW w:w="1710" w:type="dxa"/>
          </w:tcPr>
          <w:p w:rsidR="00745B5C" w:rsidRPr="00FE75AF" w:rsidRDefault="00745B5C" w:rsidP="00452631">
            <w:pPr>
              <w:ind w:left="252"/>
              <w:contextualSpacing/>
            </w:pPr>
            <w:r w:rsidRPr="00FE75AF">
              <w:t>2,156</w:t>
            </w:r>
          </w:p>
        </w:tc>
        <w:tc>
          <w:tcPr>
            <w:tcW w:w="1530" w:type="dxa"/>
          </w:tcPr>
          <w:p w:rsidR="00745B5C" w:rsidRPr="00FE75AF" w:rsidRDefault="00745B5C" w:rsidP="00452631">
            <w:pPr>
              <w:ind w:left="252"/>
              <w:contextualSpacing/>
            </w:pPr>
            <w:r w:rsidRPr="00FE75AF">
              <w:t>2,132</w:t>
            </w:r>
          </w:p>
        </w:tc>
      </w:tr>
      <w:tr w:rsidR="00745B5C" w:rsidRPr="00FE75AF" w:rsidTr="00452631">
        <w:tc>
          <w:tcPr>
            <w:tcW w:w="2988" w:type="dxa"/>
            <w:tcBorders>
              <w:bottom w:val="single" w:sz="4" w:space="0" w:color="auto"/>
            </w:tcBorders>
          </w:tcPr>
          <w:p w:rsidR="00745B5C" w:rsidRPr="00FE75AF" w:rsidRDefault="00745B5C" w:rsidP="00452631">
            <w:pPr>
              <w:contextualSpacing/>
            </w:pPr>
          </w:p>
        </w:tc>
        <w:tc>
          <w:tcPr>
            <w:tcW w:w="1692" w:type="dxa"/>
            <w:tcBorders>
              <w:bottom w:val="single" w:sz="4" w:space="0" w:color="auto"/>
            </w:tcBorders>
          </w:tcPr>
          <w:p w:rsidR="00745B5C" w:rsidRPr="00FE75AF" w:rsidRDefault="00745B5C" w:rsidP="00452631">
            <w:pPr>
              <w:contextualSpacing/>
            </w:pPr>
          </w:p>
        </w:tc>
        <w:tc>
          <w:tcPr>
            <w:tcW w:w="1530" w:type="dxa"/>
            <w:tcBorders>
              <w:bottom w:val="single" w:sz="4" w:space="0" w:color="auto"/>
            </w:tcBorders>
          </w:tcPr>
          <w:p w:rsidR="00745B5C" w:rsidRPr="00FE75AF" w:rsidRDefault="00745B5C" w:rsidP="00452631">
            <w:pPr>
              <w:contextualSpacing/>
            </w:pPr>
          </w:p>
        </w:tc>
        <w:tc>
          <w:tcPr>
            <w:tcW w:w="1710" w:type="dxa"/>
            <w:tcBorders>
              <w:bottom w:val="single" w:sz="4" w:space="0" w:color="auto"/>
            </w:tcBorders>
          </w:tcPr>
          <w:p w:rsidR="00745B5C" w:rsidRPr="00FE75AF" w:rsidRDefault="00745B5C" w:rsidP="00452631">
            <w:pPr>
              <w:contextualSpacing/>
            </w:pPr>
          </w:p>
        </w:tc>
        <w:tc>
          <w:tcPr>
            <w:tcW w:w="1530" w:type="dxa"/>
            <w:tcBorders>
              <w:bottom w:val="single" w:sz="4" w:space="0" w:color="auto"/>
            </w:tcBorders>
          </w:tcPr>
          <w:p w:rsidR="00745B5C" w:rsidRPr="00FE75AF" w:rsidRDefault="00745B5C" w:rsidP="00452631">
            <w:pPr>
              <w:contextualSpacing/>
            </w:pPr>
          </w:p>
        </w:tc>
      </w:tr>
    </w:tbl>
    <w:p w:rsidR="00745B5C" w:rsidRPr="00FE75AF" w:rsidRDefault="00745B5C" w:rsidP="00745B5C">
      <w:pPr>
        <w:contextualSpacing/>
      </w:pPr>
      <w:r>
        <w:t xml:space="preserve">Ordinary least squares regression predicting variation in question-level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eastAsiaTheme="minorEastAsia"/>
        </w:rPr>
        <w:t xml:space="preserve"> thresholds, with</w:t>
      </w:r>
      <w:r>
        <w:t xml:space="preserve"> r</w:t>
      </w:r>
      <w:r w:rsidRPr="00FE75AF">
        <w:t xml:space="preserve">obust standard errors.  </w:t>
      </w:r>
    </w:p>
    <w:p w:rsidR="00745B5C" w:rsidRDefault="00745B5C" w:rsidP="00745B5C"/>
    <w:p w:rsidR="00745B5C" w:rsidRDefault="00745B5C" w:rsidP="00745B5C"/>
    <w:p w:rsidR="00745B5C" w:rsidRDefault="00745B5C" w:rsidP="00745B5C">
      <w:pPr>
        <w:spacing w:line="360" w:lineRule="auto"/>
      </w:pPr>
      <w:r>
        <w:rPr>
          <w:u w:val="single"/>
        </w:rPr>
        <w:lastRenderedPageBreak/>
        <w:t>V. Additional description of the Good Judgment Project’s training module</w:t>
      </w:r>
    </w:p>
    <w:p w:rsidR="00745B5C" w:rsidRDefault="00745B5C" w:rsidP="00745B5C">
      <w:pPr>
        <w:spacing w:line="360" w:lineRule="auto"/>
      </w:pPr>
      <w:r>
        <w:t>As described above, a random subset of GJP forecasters received online training. Beginning on the following page, we have enclosed a copy of the GJP’s training manual, from which we have removed copyrighted images and embedded interactive elements.</w:t>
      </w:r>
    </w:p>
    <w:p w:rsidR="00745B5C" w:rsidRDefault="00745B5C" w:rsidP="00745B5C"/>
    <w:p w:rsidR="00745B5C" w:rsidRDefault="00745B5C" w:rsidP="00745B5C">
      <w:pPr>
        <w:rPr>
          <w:rFonts w:ascii="Calibri" w:eastAsia="MS Gothic" w:hAnsi="Calibri"/>
          <w:color w:val="17365D"/>
          <w:spacing w:val="5"/>
          <w:kern w:val="28"/>
          <w:sz w:val="48"/>
          <w:szCs w:val="48"/>
        </w:rPr>
      </w:pPr>
      <w:r>
        <w:rPr>
          <w:rFonts w:ascii="Calibri" w:eastAsia="MS Gothic" w:hAnsi="Calibri"/>
          <w:color w:val="17365D"/>
          <w:spacing w:val="5"/>
          <w:kern w:val="28"/>
          <w:sz w:val="48"/>
          <w:szCs w:val="48"/>
        </w:rPr>
        <w:br w:type="page"/>
      </w:r>
    </w:p>
    <w:p w:rsidR="00745B5C" w:rsidRDefault="00745B5C" w:rsidP="00745B5C">
      <w:pPr>
        <w:pBdr>
          <w:bottom w:val="single" w:sz="8" w:space="4" w:color="4F81BD"/>
        </w:pBdr>
        <w:spacing w:after="300"/>
        <w:contextualSpacing/>
        <w:rPr>
          <w:rFonts w:ascii="Calibri" w:eastAsia="MS Gothic" w:hAnsi="Calibri"/>
          <w:color w:val="17365D"/>
          <w:spacing w:val="5"/>
          <w:kern w:val="28"/>
          <w:sz w:val="48"/>
          <w:szCs w:val="48"/>
        </w:rPr>
      </w:pPr>
      <w:r w:rsidRPr="0089759B">
        <w:rPr>
          <w:rFonts w:ascii="Calibri" w:eastAsia="MS Gothic" w:hAnsi="Calibri"/>
          <w:color w:val="17365D"/>
          <w:spacing w:val="5"/>
          <w:kern w:val="28"/>
          <w:sz w:val="48"/>
          <w:szCs w:val="48"/>
        </w:rPr>
        <w:lastRenderedPageBreak/>
        <w:t xml:space="preserve">Training </w:t>
      </w:r>
      <w:r>
        <w:rPr>
          <w:rFonts w:ascii="Calibri" w:eastAsia="MS Gothic" w:hAnsi="Calibri"/>
          <w:color w:val="17365D"/>
          <w:spacing w:val="5"/>
          <w:kern w:val="28"/>
          <w:sz w:val="48"/>
          <w:szCs w:val="48"/>
        </w:rPr>
        <w:t xml:space="preserve">Manual: </w:t>
      </w:r>
    </w:p>
    <w:p w:rsidR="00745B5C" w:rsidRPr="0089759B" w:rsidRDefault="00745B5C" w:rsidP="00745B5C">
      <w:pPr>
        <w:pBdr>
          <w:bottom w:val="single" w:sz="8" w:space="4" w:color="4F81BD"/>
        </w:pBdr>
        <w:spacing w:after="300"/>
        <w:contextualSpacing/>
        <w:rPr>
          <w:rFonts w:ascii="Calibri" w:eastAsia="MS Gothic" w:hAnsi="Calibri"/>
          <w:color w:val="17365D"/>
          <w:spacing w:val="5"/>
          <w:kern w:val="28"/>
          <w:sz w:val="48"/>
          <w:szCs w:val="48"/>
        </w:rPr>
      </w:pPr>
      <w:r>
        <w:rPr>
          <w:rFonts w:ascii="Calibri" w:eastAsia="MS Gothic" w:hAnsi="Calibri"/>
          <w:color w:val="17365D"/>
          <w:spacing w:val="5"/>
          <w:kern w:val="28"/>
          <w:sz w:val="48"/>
          <w:szCs w:val="48"/>
        </w:rPr>
        <w:t>CHAMPS &amp; KNOW for Surveys</w:t>
      </w:r>
    </w:p>
    <w:p w:rsidR="00745B5C" w:rsidRDefault="00745B5C" w:rsidP="00745B5C">
      <w:pPr>
        <w:spacing w:after="0"/>
        <w:rPr>
          <w:rFonts w:ascii="Cambria" w:eastAsia="MS Mincho" w:hAnsi="Cambria"/>
        </w:rPr>
      </w:pPr>
      <w:r>
        <w:rPr>
          <w:rFonts w:ascii="Cambria" w:eastAsia="MS Mincho" w:hAnsi="Cambria"/>
        </w:rPr>
        <w:t>(Copyrighted images and embedded interactive elements were removed from this version.)</w:t>
      </w:r>
    </w:p>
    <w:p w:rsidR="00745B5C" w:rsidRDefault="00745B5C" w:rsidP="00745B5C">
      <w:pPr>
        <w:spacing w:after="0"/>
        <w:rPr>
          <w:rFonts w:ascii="Cambria" w:eastAsia="MS Mincho" w:hAnsi="Cambria"/>
        </w:rPr>
      </w:pPr>
      <w:r>
        <w:rPr>
          <w:rFonts w:ascii="Cambria" w:eastAsia="MS Mincho" w:hAnsi="Cambria"/>
        </w:rPr>
        <w:br/>
      </w:r>
    </w:p>
    <w:p w:rsidR="00745B5C" w:rsidRPr="0089759B" w:rsidRDefault="00745B5C" w:rsidP="00745B5C">
      <w:pPr>
        <w:spacing w:after="0"/>
        <w:rPr>
          <w:rFonts w:ascii="Calibri" w:eastAsia="MS Gothic" w:hAnsi="Calibri"/>
          <w:bCs/>
          <w:color w:val="000000" w:themeColor="text1"/>
          <w:sz w:val="32"/>
          <w:szCs w:val="32"/>
        </w:rPr>
      </w:pPr>
      <w:r w:rsidRPr="0089759B">
        <w:rPr>
          <w:rFonts w:ascii="Calibri" w:eastAsia="MS Gothic" w:hAnsi="Calibri"/>
          <w:bCs/>
          <w:color w:val="000000" w:themeColor="text1"/>
          <w:sz w:val="32"/>
          <w:szCs w:val="32"/>
        </w:rPr>
        <w:t>Basic CHAMPS &amp; KNOW for Surveys</w:t>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 xml:space="preserve">Lessons from </w:t>
      </w:r>
      <w:r>
        <w:rPr>
          <w:rFonts w:ascii="Calibri" w:eastAsia="MS Gothic" w:hAnsi="Calibri"/>
          <w:b/>
          <w:bCs/>
          <w:color w:val="4F81BD"/>
          <w:sz w:val="26"/>
          <w:szCs w:val="26"/>
        </w:rPr>
        <w:t>past seasons</w:t>
      </w:r>
      <w:r w:rsidRPr="0089759B">
        <w:rPr>
          <w:rFonts w:ascii="Calibri" w:eastAsia="MS Gothic" w:hAnsi="Calibri"/>
          <w:b/>
          <w:bCs/>
          <w:color w:val="4F81BD"/>
          <w:sz w:val="26"/>
          <w:szCs w:val="26"/>
        </w:rPr>
        <w:t xml:space="preserve"> </w:t>
      </w:r>
    </w:p>
    <w:p w:rsidR="00745B5C" w:rsidRPr="0089759B" w:rsidRDefault="00745B5C" w:rsidP="00745B5C">
      <w:pPr>
        <w:keepNext/>
        <w:spacing w:after="0"/>
        <w:ind w:left="720"/>
        <w:contextualSpacing/>
        <w:rPr>
          <w:rFonts w:ascii="Cambria" w:eastAsia="MS Mincho" w:hAnsi="Cambria"/>
        </w:rPr>
      </w:pPr>
    </w:p>
    <w:p w:rsidR="00745B5C" w:rsidRPr="0089759B" w:rsidRDefault="00745B5C" w:rsidP="00745B5C">
      <w:pPr>
        <w:keepNext/>
        <w:numPr>
          <w:ilvl w:val="0"/>
          <w:numId w:val="13"/>
        </w:numPr>
        <w:spacing w:after="0"/>
        <w:contextualSpacing/>
        <w:rPr>
          <w:rFonts w:ascii="Cambria" w:eastAsia="MS Mincho" w:hAnsi="Cambria"/>
        </w:rPr>
      </w:pPr>
      <w:r w:rsidRPr="0089759B">
        <w:rPr>
          <w:rFonts w:ascii="Cambria" w:eastAsia="MS Mincho" w:hAnsi="Cambria"/>
        </w:rPr>
        <w:t>One key lesson from the past two seasons of the IARPA tournament is that good geopolitical forecasting is a matter of skill, not just luck.</w:t>
      </w:r>
    </w:p>
    <w:p w:rsidR="00745B5C" w:rsidRPr="0089759B" w:rsidRDefault="00745B5C" w:rsidP="00745B5C">
      <w:pPr>
        <w:keepNext/>
        <w:spacing w:after="0"/>
        <w:ind w:left="720" w:firstLine="270"/>
        <w:contextualSpacing/>
        <w:rPr>
          <w:rFonts w:ascii="Cambria" w:eastAsia="MS Mincho" w:hAnsi="Cambria"/>
        </w:rPr>
      </w:pPr>
    </w:p>
    <w:p w:rsidR="00745B5C" w:rsidRPr="0089759B" w:rsidRDefault="00745B5C" w:rsidP="00745B5C">
      <w:pPr>
        <w:keepNext/>
        <w:numPr>
          <w:ilvl w:val="0"/>
          <w:numId w:val="13"/>
        </w:numPr>
        <w:spacing w:after="0"/>
        <w:contextualSpacing/>
        <w:rPr>
          <w:rFonts w:ascii="Cambria" w:eastAsia="MS Mincho" w:hAnsi="Cambria"/>
        </w:rPr>
      </w:pPr>
      <w:r w:rsidRPr="0089759B">
        <w:rPr>
          <w:rFonts w:ascii="Cambria" w:eastAsia="MS Mincho" w:hAnsi="Cambria"/>
        </w:rPr>
        <w:t>Good forecasting is a skill that you can cultivate through training and deliberate practice.</w:t>
      </w:r>
    </w:p>
    <w:p w:rsidR="00745B5C" w:rsidRPr="0089759B" w:rsidRDefault="00745B5C" w:rsidP="00745B5C">
      <w:pPr>
        <w:keepNext/>
        <w:spacing w:after="0"/>
        <w:ind w:left="720"/>
        <w:contextualSpacing/>
        <w:rPr>
          <w:rFonts w:ascii="Cambria" w:eastAsia="MS Mincho" w:hAnsi="Cambria"/>
        </w:rPr>
      </w:pPr>
    </w:p>
    <w:p w:rsidR="00745B5C" w:rsidRPr="0089759B" w:rsidRDefault="00745B5C" w:rsidP="00745B5C">
      <w:pPr>
        <w:keepNext/>
        <w:numPr>
          <w:ilvl w:val="0"/>
          <w:numId w:val="13"/>
        </w:numPr>
        <w:spacing w:after="0"/>
        <w:contextualSpacing/>
        <w:rPr>
          <w:rFonts w:ascii="Cambria" w:eastAsia="MS Mincho" w:hAnsi="Cambria"/>
        </w:rPr>
      </w:pPr>
      <w:r w:rsidRPr="0089759B">
        <w:rPr>
          <w:rFonts w:ascii="Cambria" w:eastAsia="MS Mincho" w:hAnsi="Cambria"/>
        </w:rPr>
        <w:t xml:space="preserve">Good Judgment Project forecasters who completed a probabilistic-reasoning training module in </w:t>
      </w:r>
      <w:r>
        <w:rPr>
          <w:rFonts w:ascii="Cambria" w:eastAsia="MS Mincho" w:hAnsi="Cambria"/>
        </w:rPr>
        <w:t>past seasons</w:t>
      </w:r>
      <w:r w:rsidRPr="0089759B">
        <w:rPr>
          <w:rFonts w:ascii="Cambria" w:eastAsia="MS Mincho" w:hAnsi="Cambria"/>
        </w:rPr>
        <w:t xml:space="preserve"> did significantly better in the tournament than those who did not.</w:t>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Skill and Principle</w:t>
      </w:r>
    </w:p>
    <w:p w:rsidR="00745B5C" w:rsidRPr="0089759B" w:rsidRDefault="00745B5C" w:rsidP="00745B5C">
      <w:pPr>
        <w:spacing w:after="0"/>
        <w:rPr>
          <w:rFonts w:ascii="Cambria" w:eastAsia="MS Mincho" w:hAnsi="Cambria"/>
        </w:rPr>
      </w:pPr>
    </w:p>
    <w:p w:rsidR="00745B5C" w:rsidRDefault="00745B5C" w:rsidP="00745B5C">
      <w:pPr>
        <w:spacing w:after="0"/>
        <w:rPr>
          <w:rFonts w:ascii="Cambria" w:eastAsia="MS Mincho" w:hAnsi="Cambria"/>
          <w:noProof/>
        </w:rPr>
      </w:pPr>
      <w:r>
        <w:rPr>
          <w:rFonts w:ascii="Cambria" w:eastAsia="MS Mincho" w:hAnsi="Cambria"/>
        </w:rPr>
        <w:t>In this season</w:t>
      </w:r>
      <w:r w:rsidRPr="0089759B">
        <w:rPr>
          <w:rFonts w:ascii="Cambria" w:eastAsia="MS Mincho" w:hAnsi="Cambria"/>
        </w:rPr>
        <w:t xml:space="preserve">, we are building </w:t>
      </w:r>
      <w:r>
        <w:rPr>
          <w:rFonts w:ascii="Cambria" w:eastAsia="MS Mincho" w:hAnsi="Cambria"/>
        </w:rPr>
        <w:t>on the lessons from the past</w:t>
      </w:r>
      <w:r w:rsidRPr="0089759B">
        <w:rPr>
          <w:rFonts w:ascii="Cambria" w:eastAsia="MS Mincho" w:hAnsi="Cambria"/>
        </w:rPr>
        <w:t xml:space="preserve"> years. We will be providing you more training covering both probabilistic-reasoning </w:t>
      </w:r>
      <w:r w:rsidRPr="0089759B">
        <w:rPr>
          <w:rFonts w:ascii="Cambria" w:eastAsia="MS Mincho" w:hAnsi="Cambria"/>
          <w:b/>
          <w:bCs/>
        </w:rPr>
        <w:t>skills</w:t>
      </w:r>
      <w:r w:rsidRPr="0089759B">
        <w:rPr>
          <w:rFonts w:ascii="Cambria" w:eastAsia="MS Mincho" w:hAnsi="Cambria"/>
        </w:rPr>
        <w:t xml:space="preserve"> and substantive </w:t>
      </w:r>
      <w:r w:rsidRPr="0089759B">
        <w:rPr>
          <w:rFonts w:ascii="Cambria" w:eastAsia="MS Mincho" w:hAnsi="Cambria"/>
          <w:b/>
          <w:bCs/>
        </w:rPr>
        <w:t>principles</w:t>
      </w:r>
      <w:r w:rsidRPr="0089759B">
        <w:rPr>
          <w:rFonts w:ascii="Cambria" w:eastAsia="MS Mincho" w:hAnsi="Cambria"/>
        </w:rPr>
        <w:t xml:space="preserve"> of political analysis that you can apply to forecasting problems.</w:t>
      </w:r>
      <w:r w:rsidRPr="0089759B">
        <w:rPr>
          <w:rFonts w:ascii="Cambria" w:eastAsia="MS Mincho" w:hAnsi="Cambria"/>
          <w:noProof/>
        </w:rPr>
        <w:t xml:space="preserve"> </w:t>
      </w:r>
    </w:p>
    <w:p w:rsidR="00745B5C" w:rsidRDefault="00745B5C" w:rsidP="00745B5C">
      <w:pPr>
        <w:spacing w:after="0"/>
        <w:rPr>
          <w:rFonts w:ascii="Cambria" w:eastAsia="MS Mincho" w:hAnsi="Cambria"/>
          <w:noProof/>
        </w:rPr>
      </w:pPr>
    </w:p>
    <w:p w:rsidR="00745B5C" w:rsidRPr="002C5A8B" w:rsidRDefault="00745B5C" w:rsidP="00745B5C">
      <w:pPr>
        <w:rPr>
          <w:rFonts w:ascii="Cambria" w:eastAsia="MS Mincho" w:hAnsi="Cambria"/>
        </w:rPr>
      </w:pPr>
      <w:r w:rsidRPr="002C5A8B">
        <w:rPr>
          <w:rFonts w:ascii="Cambria" w:eastAsia="MS Mincho" w:hAnsi="Cambria"/>
        </w:rPr>
        <w:t>Lessons:</w:t>
      </w:r>
    </w:p>
    <w:p w:rsidR="00745B5C" w:rsidRPr="002C5A8B" w:rsidRDefault="00745B5C" w:rsidP="00745B5C">
      <w:pPr>
        <w:rPr>
          <w:rFonts w:ascii="Cambria" w:eastAsia="MS Mincho" w:hAnsi="Cambria"/>
        </w:rPr>
      </w:pPr>
      <w:r w:rsidRPr="002C5A8B">
        <w:rPr>
          <w:rFonts w:ascii="Cambria" w:eastAsia="MS Mincho" w:hAnsi="Cambria"/>
        </w:rPr>
        <w:t xml:space="preserve">1) Training is so important that we require you to: </w:t>
      </w:r>
    </w:p>
    <w:p w:rsidR="00745B5C" w:rsidRPr="00ED0B94" w:rsidRDefault="00745B5C" w:rsidP="00745B5C">
      <w:pPr>
        <w:pStyle w:val="ListParagraph"/>
        <w:numPr>
          <w:ilvl w:val="0"/>
          <w:numId w:val="27"/>
        </w:numPr>
        <w:spacing w:after="160" w:line="259" w:lineRule="auto"/>
        <w:rPr>
          <w:rFonts w:ascii="Cambria" w:eastAsia="MS Mincho" w:hAnsi="Cambria"/>
        </w:rPr>
      </w:pPr>
      <w:r w:rsidRPr="00ED0B94">
        <w:rPr>
          <w:rFonts w:ascii="Cambria" w:eastAsia="MS Mincho" w:hAnsi="Cambria"/>
        </w:rPr>
        <w:t>Complete this overview training module before you access your forecasting website for the first time; and</w:t>
      </w:r>
    </w:p>
    <w:p w:rsidR="00745B5C" w:rsidRPr="00ED0B94" w:rsidRDefault="00745B5C" w:rsidP="00745B5C">
      <w:pPr>
        <w:pStyle w:val="ListParagraph"/>
        <w:numPr>
          <w:ilvl w:val="0"/>
          <w:numId w:val="27"/>
        </w:numPr>
        <w:spacing w:after="160" w:line="259" w:lineRule="auto"/>
        <w:rPr>
          <w:rFonts w:ascii="Cambria" w:eastAsia="MS Mincho" w:hAnsi="Cambria"/>
        </w:rPr>
      </w:pPr>
      <w:r w:rsidRPr="00ED0B94">
        <w:rPr>
          <w:rFonts w:ascii="Cambria" w:eastAsia="MS Mincho" w:hAnsi="Cambria"/>
        </w:rPr>
        <w:t>Complete two additional training modules during the “preseason” before scored forecasting begins in August 2013.</w:t>
      </w:r>
    </w:p>
    <w:p w:rsidR="00745B5C" w:rsidRDefault="00745B5C" w:rsidP="00745B5C">
      <w:pPr>
        <w:rPr>
          <w:rFonts w:ascii="Cambria" w:eastAsia="MS Mincho" w:hAnsi="Cambria"/>
        </w:rPr>
      </w:pPr>
      <w:r w:rsidRPr="002C5A8B">
        <w:rPr>
          <w:rFonts w:ascii="Cambria" w:eastAsia="MS Mincho" w:hAnsi="Cambria"/>
        </w:rPr>
        <w:t xml:space="preserve">2) Learning does not stop here: </w:t>
      </w:r>
    </w:p>
    <w:p w:rsidR="00745B5C" w:rsidRDefault="00745B5C" w:rsidP="00745B5C">
      <w:pPr>
        <w:pStyle w:val="ListParagraph"/>
        <w:numPr>
          <w:ilvl w:val="0"/>
          <w:numId w:val="28"/>
        </w:numPr>
        <w:spacing w:after="160" w:line="259" w:lineRule="auto"/>
        <w:rPr>
          <w:rFonts w:ascii="Cambria" w:eastAsia="MS Mincho" w:hAnsi="Cambria"/>
        </w:rPr>
      </w:pPr>
      <w:r w:rsidRPr="00ED0B94">
        <w:rPr>
          <w:rFonts w:ascii="Cambria" w:eastAsia="MS Mincho" w:hAnsi="Cambria"/>
        </w:rPr>
        <w:t>Learn by applying principles to actual forecasting problems.</w:t>
      </w:r>
    </w:p>
    <w:p w:rsidR="00745B5C" w:rsidRPr="00ED0B94" w:rsidRDefault="00745B5C" w:rsidP="00745B5C">
      <w:pPr>
        <w:pStyle w:val="ListParagraph"/>
        <w:numPr>
          <w:ilvl w:val="0"/>
          <w:numId w:val="28"/>
        </w:numPr>
        <w:spacing w:after="160" w:line="259" w:lineRule="auto"/>
        <w:rPr>
          <w:rFonts w:ascii="Cambria" w:eastAsia="MS Mincho" w:hAnsi="Cambria"/>
        </w:rPr>
      </w:pPr>
      <w:r w:rsidRPr="00ED0B94">
        <w:rPr>
          <w:rFonts w:ascii="Cambria" w:eastAsia="MS Mincho" w:hAnsi="Cambria"/>
        </w:rPr>
        <w:t>Learn by taking optional advanced training later in the season.</w:t>
      </w:r>
    </w:p>
    <w:p w:rsidR="00745B5C" w:rsidRPr="002C5A8B" w:rsidRDefault="00745B5C" w:rsidP="00745B5C">
      <w:pPr>
        <w:rPr>
          <w:rFonts w:ascii="Cambria" w:eastAsia="MS Mincho" w:hAnsi="Cambria"/>
        </w:rPr>
      </w:pPr>
    </w:p>
    <w:p w:rsidR="00745B5C" w:rsidRPr="002C5A8B" w:rsidRDefault="00745B5C" w:rsidP="00745B5C">
      <w:pPr>
        <w:rPr>
          <w:rFonts w:ascii="Cambria" w:eastAsia="MS Mincho" w:hAnsi="Cambria"/>
        </w:rPr>
      </w:pPr>
      <w:r w:rsidRPr="002C5A8B">
        <w:rPr>
          <w:rFonts w:ascii="Cambria" w:eastAsia="MS Mincho" w:hAnsi="Cambria"/>
        </w:rPr>
        <w:t xml:space="preserve">3) Our goal is: </w:t>
      </w:r>
    </w:p>
    <w:p w:rsidR="00745B5C" w:rsidRDefault="00745B5C" w:rsidP="00745B5C">
      <w:pPr>
        <w:pStyle w:val="ListParagraph"/>
        <w:numPr>
          <w:ilvl w:val="0"/>
          <w:numId w:val="29"/>
        </w:numPr>
        <w:spacing w:after="160" w:line="259" w:lineRule="auto"/>
        <w:rPr>
          <w:rFonts w:ascii="Cambria" w:eastAsia="MS Mincho" w:hAnsi="Cambria"/>
        </w:rPr>
      </w:pPr>
      <w:r w:rsidRPr="00ED0B94">
        <w:rPr>
          <w:rFonts w:ascii="Cambria" w:eastAsia="MS Mincho" w:hAnsi="Cambria"/>
        </w:rPr>
        <w:lastRenderedPageBreak/>
        <w:t xml:space="preserve">To give you guidelines for improving your accuracy in Season 3 of the tournament; and </w:t>
      </w:r>
    </w:p>
    <w:p w:rsidR="00745B5C" w:rsidRPr="00ED0B94" w:rsidRDefault="00745B5C" w:rsidP="00745B5C">
      <w:pPr>
        <w:pStyle w:val="ListParagraph"/>
        <w:numPr>
          <w:ilvl w:val="0"/>
          <w:numId w:val="29"/>
        </w:numPr>
        <w:spacing w:after="160" w:line="259" w:lineRule="auto"/>
        <w:rPr>
          <w:rFonts w:ascii="Cambria" w:eastAsia="MS Mincho" w:hAnsi="Cambria"/>
        </w:rPr>
      </w:pPr>
      <w:r w:rsidRPr="00ED0B94">
        <w:rPr>
          <w:rFonts w:ascii="Cambria" w:eastAsia="MS Mincho" w:hAnsi="Cambria"/>
        </w:rPr>
        <w:t>To test your understanding of key concepts.</w:t>
      </w: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What makes a good forecaster?</w:t>
      </w:r>
    </w:p>
    <w:p w:rsidR="00745B5C"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 xml:space="preserve"> Our training tips can be condensed into these acronyms: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noProof/>
        </w:rPr>
        <w:drawing>
          <wp:inline distT="0" distB="0" distL="0" distR="0" wp14:anchorId="26A0B49D" wp14:editId="7E3DAB52">
            <wp:extent cx="5029200" cy="36077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ronym.png"/>
                    <pic:cNvPicPr/>
                  </pic:nvPicPr>
                  <pic:blipFill>
                    <a:blip r:embed="rId7">
                      <a:extLst>
                        <a:ext uri="{28A0092B-C50C-407E-A947-70E740481C1C}">
                          <a14:useLocalDpi xmlns:a14="http://schemas.microsoft.com/office/drawing/2010/main" val="0"/>
                        </a:ext>
                      </a:extLst>
                    </a:blip>
                    <a:stretch>
                      <a:fillRect/>
                    </a:stretch>
                  </pic:blipFill>
                  <pic:spPr>
                    <a:xfrm>
                      <a:off x="0" y="0"/>
                      <a:ext cx="5029200" cy="3607753"/>
                    </a:xfrm>
                    <a:prstGeom prst="rect">
                      <a:avLst/>
                    </a:prstGeom>
                  </pic:spPr>
                </pic:pic>
              </a:graphicData>
            </a:graphic>
          </wp:inline>
        </w:drawing>
      </w: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Introducing our guidelines</w:t>
      </w:r>
    </w:p>
    <w:p w:rsidR="00745B5C" w:rsidRPr="0089759B" w:rsidRDefault="00745B5C" w:rsidP="00745B5C">
      <w:pPr>
        <w:spacing w:after="0"/>
        <w:rPr>
          <w:rFonts w:eastAsia="Times New Roman"/>
        </w:rPr>
      </w:pPr>
    </w:p>
    <w:p w:rsidR="00745B5C" w:rsidRPr="0089759B" w:rsidRDefault="00745B5C" w:rsidP="00745B5C">
      <w:pPr>
        <w:numPr>
          <w:ilvl w:val="0"/>
          <w:numId w:val="15"/>
        </w:numPr>
        <w:spacing w:after="0"/>
        <w:contextualSpacing/>
        <w:rPr>
          <w:rFonts w:ascii="Cambria" w:eastAsia="MS Mincho" w:hAnsi="Cambria"/>
        </w:rPr>
      </w:pPr>
      <w:r w:rsidRPr="0089759B">
        <w:rPr>
          <w:rFonts w:ascii="Cambria" w:eastAsia="MS Mincho" w:hAnsi="Cambria"/>
        </w:rPr>
        <w:t xml:space="preserve">This overview module will give you a first look at the “CHAMPS KNOW” guidelines. </w:t>
      </w:r>
      <w:r w:rsidRPr="0089759B">
        <w:rPr>
          <w:rFonts w:ascii="Cambria" w:eastAsia="MS Mincho" w:hAnsi="Cambria"/>
        </w:rPr>
        <w:br/>
        <w:t> </w:t>
      </w:r>
    </w:p>
    <w:p w:rsidR="00745B5C" w:rsidRPr="0089759B" w:rsidRDefault="00745B5C" w:rsidP="00745B5C">
      <w:pPr>
        <w:numPr>
          <w:ilvl w:val="0"/>
          <w:numId w:val="15"/>
        </w:numPr>
        <w:spacing w:after="0"/>
        <w:contextualSpacing/>
        <w:rPr>
          <w:rFonts w:ascii="Cambria" w:eastAsia="MS Mincho" w:hAnsi="Cambria"/>
        </w:rPr>
      </w:pPr>
      <w:r w:rsidRPr="0089759B">
        <w:rPr>
          <w:rFonts w:ascii="Cambria" w:eastAsia="MS Mincho" w:hAnsi="Cambria"/>
        </w:rPr>
        <w:t xml:space="preserve">Right now, we are introducing the concepts to help you recognize their possible uses when you first log in to your forecasting website and see your first Season 3 questions. </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5"/>
        </w:numPr>
        <w:spacing w:after="0"/>
        <w:contextualSpacing/>
        <w:rPr>
          <w:rFonts w:ascii="Cambria" w:eastAsia="MS Mincho" w:hAnsi="Cambria"/>
        </w:rPr>
      </w:pPr>
      <w:r w:rsidRPr="0089759B">
        <w:rPr>
          <w:rFonts w:ascii="Cambria" w:eastAsia="MS Mincho" w:hAnsi="Cambria"/>
        </w:rPr>
        <w:t xml:space="preserve">We will point out features of our forecasting website that will help you apply these concepts. </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5"/>
        </w:numPr>
        <w:spacing w:after="0"/>
        <w:contextualSpacing/>
        <w:rPr>
          <w:rFonts w:ascii="Cambria" w:eastAsia="MS Mincho" w:hAnsi="Cambria"/>
        </w:rPr>
      </w:pPr>
      <w:r w:rsidRPr="0089759B">
        <w:rPr>
          <w:rFonts w:ascii="Cambria" w:eastAsia="MS Mincho" w:hAnsi="Cambria"/>
        </w:rPr>
        <w:t xml:space="preserve">Later on you’ll review two in-depth training modules on the “CHAMPS” process guidelines and the “KNOW” content guidelines. </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b/>
          <w:sz w:val="28"/>
          <w:szCs w:val="28"/>
        </w:rPr>
      </w:pPr>
      <w:r w:rsidRPr="0089759B">
        <w:rPr>
          <w:rFonts w:ascii="Cambria" w:eastAsia="MS Mincho" w:hAnsi="Cambria"/>
          <w:b/>
          <w:sz w:val="28"/>
          <w:szCs w:val="28"/>
        </w:rPr>
        <w:lastRenderedPageBreak/>
        <w:t>Introducing CHAMPS</w:t>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CHAMPS Guidelines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What is CHAMPS... six key steps:</w:t>
      </w:r>
    </w:p>
    <w:p w:rsidR="00745B5C" w:rsidRPr="0089759B" w:rsidRDefault="00745B5C" w:rsidP="00745B5C">
      <w:pPr>
        <w:numPr>
          <w:ilvl w:val="0"/>
          <w:numId w:val="16"/>
        </w:numPr>
        <w:spacing w:after="0"/>
        <w:contextualSpacing/>
        <w:rPr>
          <w:rFonts w:ascii="Cambria" w:eastAsia="MS Mincho" w:hAnsi="Cambria"/>
        </w:rPr>
      </w:pPr>
      <w:r w:rsidRPr="0089759B">
        <w:rPr>
          <w:rFonts w:ascii="Cambria" w:eastAsia="MS Mincho" w:hAnsi="Cambria"/>
          <w:b/>
          <w:sz w:val="28"/>
          <w:szCs w:val="28"/>
        </w:rPr>
        <w:t>C</w:t>
      </w:r>
      <w:r w:rsidRPr="0089759B">
        <w:rPr>
          <w:rFonts w:ascii="Cambria" w:eastAsia="MS Mincho" w:hAnsi="Cambria"/>
        </w:rPr>
        <w:t>omparison classes inform probability estimates.</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16"/>
        </w:numPr>
        <w:spacing w:after="0"/>
        <w:contextualSpacing/>
        <w:rPr>
          <w:rFonts w:ascii="Cambria" w:eastAsia="MS Mincho" w:hAnsi="Cambria"/>
        </w:rPr>
      </w:pPr>
      <w:r w:rsidRPr="0089759B">
        <w:rPr>
          <w:rFonts w:ascii="Cambria" w:eastAsia="MS Mincho" w:hAnsi="Cambria"/>
          <w:b/>
          <w:sz w:val="28"/>
          <w:szCs w:val="28"/>
        </w:rPr>
        <w:t>H</w:t>
      </w:r>
      <w:r w:rsidRPr="0089759B">
        <w:rPr>
          <w:rFonts w:ascii="Cambria" w:eastAsia="MS Mincho" w:hAnsi="Cambria"/>
        </w:rPr>
        <w:t>unt for the right information.</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6"/>
        </w:numPr>
        <w:spacing w:after="0"/>
        <w:contextualSpacing/>
        <w:rPr>
          <w:rFonts w:ascii="Cambria" w:eastAsia="MS Mincho" w:hAnsi="Cambria"/>
        </w:rPr>
      </w:pPr>
      <w:r w:rsidRPr="0089759B">
        <w:rPr>
          <w:rFonts w:ascii="Cambria" w:eastAsia="MS Mincho" w:hAnsi="Cambria"/>
          <w:b/>
          <w:sz w:val="28"/>
          <w:szCs w:val="28"/>
        </w:rPr>
        <w:t>A</w:t>
      </w:r>
      <w:r w:rsidRPr="0089759B">
        <w:rPr>
          <w:rFonts w:ascii="Cambria" w:eastAsia="MS Mincho" w:hAnsi="Cambria"/>
        </w:rPr>
        <w:t>djust and update forecasts when appropriate.</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6"/>
        </w:numPr>
        <w:spacing w:after="0"/>
        <w:contextualSpacing/>
        <w:rPr>
          <w:rFonts w:ascii="Cambria" w:eastAsia="MS Mincho" w:hAnsi="Cambria"/>
        </w:rPr>
      </w:pPr>
      <w:r w:rsidRPr="0089759B">
        <w:rPr>
          <w:rFonts w:ascii="Cambria" w:eastAsia="MS Mincho" w:hAnsi="Cambria"/>
          <w:b/>
          <w:sz w:val="28"/>
          <w:szCs w:val="28"/>
        </w:rPr>
        <w:t>M</w:t>
      </w:r>
      <w:r w:rsidRPr="0089759B">
        <w:rPr>
          <w:rFonts w:ascii="Cambria" w:eastAsia="MS Mincho" w:hAnsi="Cambria"/>
        </w:rPr>
        <w:t>athematical and statistical models can help.</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6"/>
        </w:numPr>
        <w:spacing w:after="0"/>
        <w:contextualSpacing/>
        <w:rPr>
          <w:rFonts w:ascii="Cambria" w:eastAsia="MS Mincho" w:hAnsi="Cambria"/>
        </w:rPr>
      </w:pPr>
      <w:r w:rsidRPr="0089759B">
        <w:rPr>
          <w:rFonts w:ascii="Cambria" w:eastAsia="MS Mincho" w:hAnsi="Cambria"/>
          <w:b/>
          <w:sz w:val="28"/>
          <w:szCs w:val="28"/>
        </w:rPr>
        <w:t>P</w:t>
      </w:r>
      <w:r w:rsidRPr="0089759B">
        <w:rPr>
          <w:rFonts w:ascii="Cambria" w:eastAsia="MS Mincho" w:hAnsi="Cambria"/>
        </w:rPr>
        <w:t>ost-mortem analysis after outcomes are known.</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6"/>
        </w:numPr>
        <w:spacing w:after="0"/>
        <w:contextualSpacing/>
        <w:rPr>
          <w:rFonts w:ascii="Cambria" w:eastAsia="MS Mincho" w:hAnsi="Cambria"/>
        </w:rPr>
      </w:pPr>
      <w:r w:rsidRPr="0089759B">
        <w:rPr>
          <w:rFonts w:ascii="Cambria" w:eastAsia="MS Mincho" w:hAnsi="Cambria"/>
          <w:b/>
          <w:sz w:val="28"/>
          <w:szCs w:val="28"/>
        </w:rPr>
        <w:t>S</w:t>
      </w:r>
      <w:r w:rsidRPr="0089759B">
        <w:rPr>
          <w:rFonts w:ascii="Cambria" w:eastAsia="MS Mincho" w:hAnsi="Cambria"/>
        </w:rPr>
        <w:t>elect the right questions to answer</w:t>
      </w:r>
    </w:p>
    <w:p w:rsidR="00745B5C" w:rsidRPr="0089759B" w:rsidRDefault="00745B5C" w:rsidP="00745B5C">
      <w:pPr>
        <w:spacing w:after="0"/>
        <w:ind w:left="720"/>
        <w:contextualSpacing/>
        <w:rPr>
          <w:rFonts w:ascii="Cambria" w:eastAsia="MS Mincho" w:hAnsi="Cambria"/>
        </w:rPr>
      </w:pP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32"/>
          <w:szCs w:val="32"/>
        </w:rPr>
        <w:t>C</w:t>
      </w:r>
      <w:r w:rsidRPr="0089759B">
        <w:rPr>
          <w:rFonts w:ascii="Calibri" w:eastAsia="MS Gothic" w:hAnsi="Calibri"/>
          <w:bCs/>
          <w:color w:val="4F81BD"/>
        </w:rPr>
        <w:t>HAMPS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Comparison classes should inform your probability estimates</w:t>
      </w: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2"/>
          <w:numId w:val="0"/>
        </w:numPr>
        <w:spacing w:before="200" w:after="0"/>
        <w:ind w:left="720" w:hanging="720"/>
        <w:outlineLvl w:val="2"/>
        <w:rPr>
          <w:rFonts w:ascii="Calibri" w:eastAsia="MS Gothic" w:hAnsi="Calibri"/>
          <w:b/>
          <w:bCs/>
          <w:color w:val="4F81BD"/>
          <w:sz w:val="26"/>
          <w:szCs w:val="26"/>
        </w:rPr>
      </w:pPr>
      <w:r w:rsidRPr="0089759B">
        <w:rPr>
          <w:rFonts w:ascii="Calibri" w:eastAsia="MS Gothic" w:hAnsi="Calibri"/>
          <w:b/>
          <w:bCs/>
          <w:color w:val="4F81BD"/>
          <w:sz w:val="26"/>
          <w:szCs w:val="26"/>
        </w:rPr>
        <w:t>CHAMPS:</w:t>
      </w:r>
      <w:r w:rsidRPr="0089759B">
        <w:rPr>
          <w:rFonts w:ascii="Calibri" w:eastAsia="MS Gothic" w:hAnsi="Calibri"/>
          <w:b/>
          <w:bCs/>
          <w:color w:val="4F81BD"/>
        </w:rPr>
        <w:t xml:space="preserve"> </w:t>
      </w:r>
      <w:r w:rsidRPr="0089759B">
        <w:rPr>
          <w:rFonts w:ascii="Calibri" w:eastAsia="MS Gothic" w:hAnsi="Calibri"/>
          <w:b/>
          <w:bCs/>
          <w:color w:val="4F81BD"/>
          <w:sz w:val="26"/>
          <w:szCs w:val="26"/>
        </w:rPr>
        <w:t>Comparison Classes</w:t>
      </w:r>
    </w:p>
    <w:p w:rsidR="00745B5C" w:rsidRPr="0089759B" w:rsidRDefault="00745B5C" w:rsidP="00745B5C">
      <w:pPr>
        <w:spacing w:after="0"/>
        <w:rPr>
          <w:rFonts w:ascii="Cambria" w:eastAsia="MS Mincho" w:hAnsi="Cambria"/>
        </w:rPr>
      </w:pPr>
    </w:p>
    <w:p w:rsidR="00745B5C" w:rsidRPr="0089759B" w:rsidRDefault="00745B5C" w:rsidP="00745B5C">
      <w:pPr>
        <w:spacing w:after="0"/>
        <w:ind w:left="270"/>
        <w:rPr>
          <w:rFonts w:ascii="Cambria" w:eastAsia="MS Mincho" w:hAnsi="Cambria"/>
        </w:rPr>
      </w:pPr>
      <w:r w:rsidRPr="0089759B">
        <w:rPr>
          <w:rFonts w:ascii="Cambria" w:eastAsia="MS Mincho" w:hAnsi="Cambria"/>
          <w:b/>
          <w:bCs/>
        </w:rPr>
        <w:t>What are the chances that a married couple will get divorced?</w:t>
      </w:r>
      <w:r w:rsidRPr="0089759B">
        <w:rPr>
          <w:rFonts w:ascii="Cambria" w:eastAsia="MS Mincho" w:hAnsi="Cambria"/>
        </w:rPr>
        <w:t xml:space="preserve"> The </w:t>
      </w:r>
      <w:r w:rsidRPr="0089759B">
        <w:rPr>
          <w:rFonts w:ascii="Cambria" w:eastAsia="MS Mincho" w:hAnsi="Cambria"/>
          <w:b/>
        </w:rPr>
        <w:t>outside view:</w:t>
      </w:r>
      <w:r w:rsidRPr="0089759B">
        <w:rPr>
          <w:rFonts w:ascii="Cambria" w:eastAsia="MS Mincho" w:hAnsi="Cambria"/>
        </w:rPr>
        <w:t xml:space="preserve"> connect the case at hand to a comparison or reference class and rely on base-rate information.</w:t>
      </w:r>
    </w:p>
    <w:p w:rsidR="00745B5C" w:rsidRPr="0089759B" w:rsidRDefault="00745B5C" w:rsidP="00745B5C">
      <w:pPr>
        <w:numPr>
          <w:ilvl w:val="0"/>
          <w:numId w:val="17"/>
        </w:numPr>
        <w:spacing w:after="0"/>
        <w:ind w:left="270"/>
        <w:contextualSpacing/>
        <w:rPr>
          <w:rFonts w:ascii="Cambria" w:eastAsia="MS Mincho" w:hAnsi="Cambria"/>
        </w:rPr>
      </w:pPr>
      <w:r w:rsidRPr="0089759B">
        <w:rPr>
          <w:rFonts w:ascii="Cambria" w:eastAsia="MS Mincho" w:hAnsi="Cambria"/>
        </w:rPr>
        <w:t>EXAMPLE: I know 40% of all marriages end in divorce. So, the wedding I just attended has a 40% chance of ending in divorce.</w:t>
      </w:r>
    </w:p>
    <w:p w:rsidR="00745B5C" w:rsidRPr="0089759B" w:rsidRDefault="00745B5C" w:rsidP="00745B5C">
      <w:pPr>
        <w:spacing w:after="0"/>
        <w:ind w:left="270"/>
        <w:rPr>
          <w:rFonts w:ascii="Cambria" w:eastAsia="MS Mincho" w:hAnsi="Cambria"/>
        </w:rPr>
      </w:pPr>
    </w:p>
    <w:p w:rsidR="00745B5C" w:rsidRPr="0089759B" w:rsidRDefault="00745B5C" w:rsidP="00745B5C">
      <w:pPr>
        <w:spacing w:after="0"/>
        <w:ind w:left="270"/>
        <w:rPr>
          <w:rFonts w:ascii="Cambria" w:eastAsia="MS Mincho" w:hAnsi="Cambria"/>
        </w:rPr>
      </w:pPr>
      <w:r w:rsidRPr="0089759B">
        <w:rPr>
          <w:rFonts w:ascii="Cambria" w:eastAsia="MS Mincho" w:hAnsi="Cambria"/>
        </w:rPr>
        <w:t xml:space="preserve">The </w:t>
      </w:r>
      <w:r w:rsidRPr="0089759B">
        <w:rPr>
          <w:rFonts w:ascii="Cambria" w:eastAsia="MS Mincho" w:hAnsi="Cambria"/>
          <w:b/>
        </w:rPr>
        <w:t>inside view:</w:t>
      </w:r>
      <w:r w:rsidRPr="0089759B">
        <w:rPr>
          <w:rFonts w:ascii="Cambria" w:eastAsia="MS Mincho" w:hAnsi="Cambria"/>
        </w:rPr>
        <w:t xml:space="preserve"> focus on unique qualities of case at hand.</w:t>
      </w:r>
    </w:p>
    <w:p w:rsidR="00745B5C" w:rsidRPr="0089759B" w:rsidRDefault="00745B5C" w:rsidP="00745B5C">
      <w:pPr>
        <w:numPr>
          <w:ilvl w:val="0"/>
          <w:numId w:val="17"/>
        </w:numPr>
        <w:spacing w:after="0"/>
        <w:ind w:left="270"/>
        <w:contextualSpacing/>
        <w:rPr>
          <w:rFonts w:ascii="Cambria" w:eastAsia="MS Mincho" w:hAnsi="Cambria"/>
        </w:rPr>
      </w:pPr>
      <w:r w:rsidRPr="0089759B">
        <w:rPr>
          <w:rFonts w:ascii="Cambria" w:eastAsia="MS Mincho" w:hAnsi="Cambria"/>
        </w:rPr>
        <w:t>EXAMPLE: The couple seems well matched. So, I assign a low probability that their marriage will end in divorce.</w:t>
      </w:r>
    </w:p>
    <w:p w:rsidR="00745B5C" w:rsidRDefault="00745B5C" w:rsidP="00745B5C">
      <w:pPr>
        <w:keepNext/>
        <w:keepLines/>
        <w:numPr>
          <w:ilvl w:val="2"/>
          <w:numId w:val="0"/>
        </w:numPr>
        <w:spacing w:before="200" w:after="0"/>
        <w:outlineLvl w:val="2"/>
        <w:rPr>
          <w:rFonts w:ascii="Calibri" w:eastAsia="MS Gothic" w:hAnsi="Calibri"/>
          <w:b/>
          <w:bCs/>
          <w:color w:val="4F81BD"/>
        </w:rPr>
      </w:pPr>
      <w:r w:rsidRPr="0089759B">
        <w:rPr>
          <w:rFonts w:ascii="Calibri" w:eastAsia="MS Gothic" w:hAnsi="Calibri"/>
          <w:b/>
          <w:bCs/>
          <w:color w:val="4F81BD"/>
        </w:rPr>
        <w:t>Research suggests that people over-RELY on the inside view!</w:t>
      </w:r>
    </w:p>
    <w:p w:rsidR="00745B5C" w:rsidRDefault="00745B5C" w:rsidP="00745B5C"/>
    <w:p w:rsidR="00745B5C" w:rsidRPr="00ED0B94" w:rsidRDefault="00745B5C" w:rsidP="00745B5C">
      <w:pPr>
        <w:spacing w:after="0"/>
        <w:ind w:left="270"/>
        <w:rPr>
          <w:rFonts w:ascii="Cambria" w:eastAsia="MS Mincho" w:hAnsi="Cambria"/>
        </w:rPr>
      </w:pPr>
      <w:r w:rsidRPr="00ED0B94">
        <w:rPr>
          <w:rFonts w:ascii="Cambria" w:eastAsia="MS Mincho" w:hAnsi="Cambria"/>
        </w:rPr>
        <w:t xml:space="preserve">“The inside view is overwhelmingly preferred in intuitive forecasting. The natural way to think about a problem is to bring to bear all one knows about it, with special attention to its unique features. The intellectual detour into the statistics of related cases is seldom chosen spontaneously” </w:t>
      </w:r>
    </w:p>
    <w:p w:rsidR="00745B5C" w:rsidRDefault="00745B5C" w:rsidP="00745B5C">
      <w:pPr>
        <w:spacing w:after="0"/>
        <w:ind w:left="270"/>
        <w:jc w:val="right"/>
        <w:rPr>
          <w:rFonts w:ascii="Cambria" w:eastAsia="MS Mincho" w:hAnsi="Cambria"/>
        </w:rPr>
      </w:pPr>
      <w:r w:rsidRPr="00ED0B94">
        <w:rPr>
          <w:rFonts w:ascii="Cambria" w:eastAsia="MS Mincho" w:hAnsi="Cambria"/>
        </w:rPr>
        <w:t xml:space="preserve">~Daniel Kahneman, </w:t>
      </w:r>
    </w:p>
    <w:p w:rsidR="00745B5C" w:rsidRPr="00ED0B94" w:rsidRDefault="00745B5C" w:rsidP="00745B5C">
      <w:pPr>
        <w:spacing w:after="0"/>
        <w:ind w:left="270"/>
        <w:jc w:val="right"/>
        <w:rPr>
          <w:rFonts w:ascii="Cambria" w:eastAsia="MS Mincho" w:hAnsi="Cambria"/>
        </w:rPr>
      </w:pPr>
      <w:r>
        <w:rPr>
          <w:rFonts w:ascii="Cambria" w:eastAsia="MS Mincho" w:hAnsi="Cambria"/>
        </w:rPr>
        <w:t>A</w:t>
      </w:r>
      <w:r w:rsidRPr="00ED0B94">
        <w:rPr>
          <w:rFonts w:ascii="Cambria" w:eastAsia="MS Mincho" w:hAnsi="Cambria"/>
        </w:rPr>
        <w:t>n advisor to the Good Judgment Project</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bCs/>
        </w:rPr>
      </w:pPr>
      <w:r w:rsidRPr="0089759B">
        <w:rPr>
          <w:rFonts w:ascii="Cambria" w:eastAsia="MS Mincho" w:hAnsi="Cambria"/>
          <w:b/>
          <w:bCs/>
        </w:rPr>
        <w:lastRenderedPageBreak/>
        <w:t xml:space="preserve">Exercise 1: </w:t>
      </w:r>
      <w:r w:rsidRPr="0089759B">
        <w:rPr>
          <w:rFonts w:ascii="Cambria" w:eastAsia="MS Mincho" w:hAnsi="Cambria"/>
          <w:bCs/>
        </w:rPr>
        <w:t>The Linda problem</w:t>
      </w:r>
      <w:r w:rsidRPr="0089759B">
        <w:rPr>
          <w:rFonts w:ascii="Cambria" w:eastAsia="MS Mincho" w:hAnsi="Cambria"/>
          <w:bCs/>
        </w:rPr>
        <w:br/>
      </w:r>
      <w:r w:rsidRPr="0089759B">
        <w:rPr>
          <w:rFonts w:ascii="Cambria" w:eastAsia="MS Mincho" w:hAnsi="Cambria"/>
          <w:bCs/>
        </w:rPr>
        <w:br/>
        <w:t>Linda is 31 years old, single, outspoken, and very bright. She majored in philosophy. As a student, she was deeply concerned with issues of discrimination and social justice, and also participated in anti-nuclear demonstrations.</w:t>
      </w:r>
      <w:r w:rsidRPr="0089759B">
        <w:rPr>
          <w:rFonts w:ascii="Cambria" w:eastAsia="MS Mincho" w:hAnsi="Cambria"/>
          <w:bCs/>
        </w:rPr>
        <w:br/>
      </w:r>
      <w:r w:rsidRPr="0089759B">
        <w:rPr>
          <w:rFonts w:ascii="Cambria" w:eastAsia="MS Mincho" w:hAnsi="Cambria"/>
          <w:bCs/>
        </w:rPr>
        <w:br/>
        <w:t xml:space="preserve">Which of the following two alternatives is more probable? </w:t>
      </w:r>
    </w:p>
    <w:p w:rsidR="00745B5C" w:rsidRPr="0089759B" w:rsidRDefault="00745B5C" w:rsidP="00745B5C">
      <w:pPr>
        <w:numPr>
          <w:ilvl w:val="1"/>
          <w:numId w:val="14"/>
        </w:numPr>
        <w:spacing w:after="0"/>
        <w:contextualSpacing/>
        <w:rPr>
          <w:rFonts w:ascii="Cambria" w:eastAsia="MS Mincho" w:hAnsi="Cambria"/>
          <w:bCs/>
        </w:rPr>
      </w:pPr>
      <w:r w:rsidRPr="0089759B">
        <w:rPr>
          <w:rFonts w:ascii="Cambria" w:eastAsia="MS Mincho" w:hAnsi="Cambria"/>
          <w:bCs/>
        </w:rPr>
        <w:t>Linda is a bank teller</w:t>
      </w:r>
    </w:p>
    <w:p w:rsidR="00745B5C" w:rsidRPr="0089759B" w:rsidRDefault="00745B5C" w:rsidP="00745B5C">
      <w:pPr>
        <w:numPr>
          <w:ilvl w:val="1"/>
          <w:numId w:val="14"/>
        </w:numPr>
        <w:spacing w:after="0"/>
        <w:contextualSpacing/>
        <w:rPr>
          <w:rFonts w:ascii="Cambria" w:eastAsia="MS Mincho" w:hAnsi="Cambria"/>
          <w:bCs/>
        </w:rPr>
      </w:pPr>
      <w:r w:rsidRPr="0089759B">
        <w:rPr>
          <w:rFonts w:ascii="Cambria" w:eastAsia="MS Mincho" w:hAnsi="Cambria"/>
          <w:bCs/>
        </w:rPr>
        <w:t>Linda is a bank teller and active in the feminist movement</w:t>
      </w:r>
    </w:p>
    <w:p w:rsidR="00745B5C" w:rsidRPr="0089759B" w:rsidRDefault="00745B5C" w:rsidP="00745B5C">
      <w:pPr>
        <w:spacing w:after="0"/>
        <w:ind w:left="720"/>
        <w:contextualSpacing/>
        <w:rPr>
          <w:rFonts w:ascii="Cambria" w:eastAsia="MS Mincho" w:hAnsi="Cambria"/>
          <w:bCs/>
        </w:rPr>
      </w:pPr>
    </w:p>
    <w:p w:rsidR="00745B5C" w:rsidRPr="0089759B" w:rsidRDefault="00745B5C" w:rsidP="00745B5C">
      <w:pPr>
        <w:spacing w:after="0"/>
        <w:rPr>
          <w:rFonts w:ascii="Cambria" w:eastAsia="MS Mincho" w:hAnsi="Cambria"/>
        </w:rPr>
      </w:pPr>
      <w:r w:rsidRPr="0089759B">
        <w:rPr>
          <w:rFonts w:ascii="Cambria" w:eastAsia="MS Mincho" w:hAnsi="Cambria"/>
          <w:b/>
        </w:rPr>
        <w:t>ANSWER:</w:t>
      </w:r>
      <w:r w:rsidRPr="0089759B">
        <w:rPr>
          <w:rFonts w:ascii="Cambria" w:eastAsia="MS Mincho" w:hAnsi="Cambria"/>
        </w:rPr>
        <w:t xml:space="preserve"> There must be at least as many bank tellers as there are feminist bank tellers, and as such, it is more probable that Linda is a bank teller than a feminist bank teller.</w:t>
      </w:r>
    </w:p>
    <w:p w:rsidR="00745B5C" w:rsidRPr="0089759B" w:rsidRDefault="00745B5C" w:rsidP="00745B5C">
      <w:pPr>
        <w:spacing w:after="0"/>
        <w:rPr>
          <w:rFonts w:ascii="Cambria" w:eastAsia="MS Mincho" w:hAnsi="Cambria"/>
          <w:b/>
          <w:bCs/>
        </w:rPr>
      </w:pPr>
    </w:p>
    <w:p w:rsidR="00745B5C" w:rsidRPr="0089759B" w:rsidRDefault="00745B5C" w:rsidP="00745B5C">
      <w:pPr>
        <w:spacing w:after="0"/>
        <w:rPr>
          <w:rFonts w:ascii="Cambria" w:eastAsia="MS Mincho" w:hAnsi="Cambria"/>
          <w:b/>
          <w:bCs/>
        </w:rPr>
      </w:pPr>
    </w:p>
    <w:p w:rsidR="00745B5C" w:rsidRPr="0089759B" w:rsidRDefault="00745B5C" w:rsidP="00745B5C">
      <w:pPr>
        <w:keepNext/>
        <w:keepLines/>
        <w:numPr>
          <w:ilvl w:val="2"/>
          <w:numId w:val="0"/>
        </w:numPr>
        <w:spacing w:before="200" w:after="0"/>
        <w:outlineLvl w:val="2"/>
        <w:rPr>
          <w:rFonts w:ascii="Calibri" w:eastAsia="MS Gothic" w:hAnsi="Calibri"/>
          <w:b/>
          <w:bCs/>
          <w:color w:val="4F81BD"/>
        </w:rPr>
      </w:pPr>
      <w:r w:rsidRPr="0089759B">
        <w:rPr>
          <w:rFonts w:ascii="Calibri" w:eastAsia="MS Gothic" w:hAnsi="Calibri"/>
          <w:b/>
          <w:bCs/>
          <w:color w:val="4F81BD"/>
        </w:rPr>
        <w:t>CHAMPS: Comparison Classes</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8"/>
        </w:numPr>
        <w:spacing w:after="0"/>
        <w:rPr>
          <w:rFonts w:ascii="Cambria" w:eastAsia="MS Mincho" w:hAnsi="Cambria"/>
        </w:rPr>
      </w:pPr>
      <w:r w:rsidRPr="0089759B">
        <w:rPr>
          <w:rFonts w:ascii="Cambria" w:eastAsia="MS Mincho" w:hAnsi="Cambria"/>
        </w:rPr>
        <w:t xml:space="preserve">To apply the outside view, you need to identify an appropriate </w:t>
      </w:r>
      <w:r w:rsidRPr="0089759B">
        <w:rPr>
          <w:rFonts w:ascii="Cambria" w:eastAsia="MS Mincho" w:hAnsi="Cambria"/>
          <w:b/>
          <w:bCs/>
        </w:rPr>
        <w:t>base rate</w:t>
      </w:r>
      <w:r w:rsidRPr="0089759B">
        <w:rPr>
          <w:rFonts w:ascii="Cambria" w:eastAsia="MS Mincho" w:hAnsi="Cambria"/>
        </w:rPr>
        <w:t xml:space="preserve">. </w:t>
      </w:r>
      <w:r w:rsidRPr="0089759B">
        <w:rPr>
          <w:rFonts w:ascii="Cambria" w:eastAsia="MS Mincho" w:hAnsi="Cambria"/>
        </w:rPr>
        <w:br/>
        <w:t> </w:t>
      </w:r>
    </w:p>
    <w:p w:rsidR="00745B5C" w:rsidRPr="0089759B" w:rsidRDefault="00745B5C" w:rsidP="00745B5C">
      <w:pPr>
        <w:numPr>
          <w:ilvl w:val="0"/>
          <w:numId w:val="18"/>
        </w:numPr>
        <w:spacing w:after="0"/>
        <w:rPr>
          <w:rFonts w:ascii="Cambria" w:eastAsia="MS Mincho" w:hAnsi="Cambria"/>
        </w:rPr>
      </w:pPr>
      <w:r w:rsidRPr="0089759B">
        <w:rPr>
          <w:rFonts w:ascii="Cambria" w:eastAsia="MS Mincho" w:hAnsi="Cambria"/>
        </w:rPr>
        <w:t xml:space="preserve">Base rates should be drawn from </w:t>
      </w:r>
      <w:r w:rsidRPr="0089759B">
        <w:rPr>
          <w:rFonts w:ascii="Cambria" w:eastAsia="MS Mincho" w:hAnsi="Cambria"/>
          <w:b/>
          <w:bCs/>
        </w:rPr>
        <w:t>comparison classes</w:t>
      </w:r>
      <w:r w:rsidRPr="0089759B">
        <w:rPr>
          <w:rFonts w:ascii="Cambria" w:eastAsia="MS Mincho" w:hAnsi="Cambria"/>
        </w:rPr>
        <w:t xml:space="preserve"> most relevant to the forecast at hand. </w:t>
      </w:r>
    </w:p>
    <w:p w:rsidR="00745B5C" w:rsidRPr="0089759B" w:rsidRDefault="00745B5C" w:rsidP="00745B5C">
      <w:pPr>
        <w:numPr>
          <w:ilvl w:val="1"/>
          <w:numId w:val="18"/>
        </w:numPr>
        <w:spacing w:after="0"/>
        <w:rPr>
          <w:rFonts w:ascii="Cambria" w:eastAsia="MS Mincho" w:hAnsi="Cambria"/>
        </w:rPr>
      </w:pPr>
      <w:r w:rsidRPr="0089759B">
        <w:rPr>
          <w:rFonts w:ascii="Cambria" w:eastAsia="MS Mincho" w:hAnsi="Cambria"/>
        </w:rPr>
        <w:t>A comparison class is a set whose members (people, nations, etc.) share key attributes. </w:t>
      </w:r>
    </w:p>
    <w:p w:rsidR="00745B5C" w:rsidRPr="0089759B" w:rsidRDefault="00745B5C" w:rsidP="00745B5C">
      <w:pPr>
        <w:numPr>
          <w:ilvl w:val="1"/>
          <w:numId w:val="18"/>
        </w:numPr>
        <w:spacing w:after="0"/>
        <w:rPr>
          <w:rFonts w:ascii="Cambria" w:eastAsia="MS Mincho" w:hAnsi="Cambria"/>
        </w:rPr>
      </w:pPr>
      <w:r w:rsidRPr="0089759B">
        <w:rPr>
          <w:rFonts w:ascii="Cambria" w:eastAsia="MS Mincho" w:hAnsi="Cambria"/>
        </w:rPr>
        <w:t>The base rate is the proportion of target events in a class of events under consideration.</w:t>
      </w:r>
      <w:r w:rsidRPr="0089759B">
        <w:rPr>
          <w:rFonts w:ascii="Cambria" w:eastAsia="MS Mincho" w:hAnsi="Cambria"/>
        </w:rPr>
        <w:br/>
        <w:t> </w:t>
      </w:r>
    </w:p>
    <w:p w:rsidR="00745B5C" w:rsidRPr="0089759B" w:rsidRDefault="00745B5C" w:rsidP="00745B5C">
      <w:pPr>
        <w:spacing w:after="0"/>
        <w:rPr>
          <w:rFonts w:ascii="Cambria" w:eastAsia="MS Mincho" w:hAnsi="Cambria"/>
        </w:rPr>
      </w:pPr>
      <w:r w:rsidRPr="0089759B">
        <w:rPr>
          <w:rFonts w:ascii="Cambria" w:eastAsia="MS Mincho" w:hAnsi="Cambria"/>
        </w:rPr>
        <w:t xml:space="preserve">EXAMPLE: One base rate for the risk of divorce over a one-year period could be calculated by looking up the number of divorces that occurred in a recent year, and dividing that by the total number of married couples at the beginning of that year. </w:t>
      </w:r>
    </w:p>
    <w:p w:rsidR="00745B5C" w:rsidRPr="0089759B" w:rsidRDefault="00745B5C" w:rsidP="00745B5C">
      <w:pPr>
        <w:spacing w:after="0"/>
        <w:rPr>
          <w:rFonts w:ascii="Cambria" w:eastAsia="MS Mincho" w:hAnsi="Cambria"/>
        </w:rPr>
      </w:pPr>
    </w:p>
    <w:p w:rsidR="00745B5C" w:rsidRDefault="00745B5C" w:rsidP="00745B5C">
      <w:pPr>
        <w:rPr>
          <w:rFonts w:ascii="Calibri" w:eastAsia="MS Gothic" w:hAnsi="Calibri"/>
          <w:b/>
          <w:bCs/>
          <w:color w:val="4F81BD"/>
        </w:rPr>
      </w:pPr>
      <w:r>
        <w:rPr>
          <w:rFonts w:ascii="Calibri" w:eastAsia="MS Gothic" w:hAnsi="Calibri"/>
          <w:b/>
          <w:bCs/>
          <w:color w:val="4F81BD"/>
        </w:rPr>
        <w:br w:type="page"/>
      </w:r>
    </w:p>
    <w:p w:rsidR="00745B5C" w:rsidRPr="0089759B" w:rsidRDefault="00745B5C" w:rsidP="00745B5C">
      <w:pPr>
        <w:keepNext/>
        <w:keepLines/>
        <w:numPr>
          <w:ilvl w:val="2"/>
          <w:numId w:val="0"/>
        </w:numPr>
        <w:spacing w:before="200" w:after="0"/>
        <w:ind w:left="720" w:hanging="720"/>
        <w:outlineLvl w:val="2"/>
        <w:rPr>
          <w:rFonts w:ascii="Calibri" w:eastAsia="MS Gothic" w:hAnsi="Calibri"/>
          <w:b/>
          <w:bCs/>
          <w:color w:val="4F81BD"/>
        </w:rPr>
      </w:pPr>
      <w:r w:rsidRPr="0089759B">
        <w:rPr>
          <w:rFonts w:ascii="Calibri" w:eastAsia="MS Gothic" w:hAnsi="Calibri"/>
          <w:b/>
          <w:bCs/>
          <w:color w:val="4F81BD"/>
        </w:rPr>
        <w:lastRenderedPageBreak/>
        <w:t>C</w:t>
      </w:r>
      <w:r w:rsidRPr="0089759B">
        <w:rPr>
          <w:rFonts w:ascii="Calibri" w:eastAsia="MS Gothic" w:hAnsi="Calibri"/>
          <w:b/>
          <w:bCs/>
          <w:color w:val="4F81BD"/>
          <w:sz w:val="32"/>
          <w:szCs w:val="32"/>
        </w:rPr>
        <w:t>H</w:t>
      </w:r>
      <w:r w:rsidRPr="0089759B">
        <w:rPr>
          <w:rFonts w:ascii="Calibri" w:eastAsia="MS Gothic" w:hAnsi="Calibri"/>
          <w:b/>
          <w:bCs/>
          <w:color w:val="4F81BD"/>
        </w:rPr>
        <w:t xml:space="preserve">AMPS – </w:t>
      </w:r>
      <w:r w:rsidRPr="0089759B">
        <w:rPr>
          <w:rFonts w:ascii="Calibri" w:eastAsia="MS Gothic" w:hAnsi="Calibri"/>
          <w:b/>
          <w:bCs/>
          <w:color w:val="4F81BD"/>
          <w:sz w:val="28"/>
          <w:szCs w:val="28"/>
        </w:rPr>
        <w:t>H</w:t>
      </w:r>
      <w:r w:rsidRPr="0089759B">
        <w:rPr>
          <w:rFonts w:ascii="Calibri" w:eastAsia="MS Gothic" w:hAnsi="Calibri"/>
          <w:b/>
          <w:bCs/>
          <w:color w:val="4F81BD"/>
        </w:rPr>
        <w:t>unt for the right information</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b/>
          <w:bCs/>
        </w:rPr>
      </w:pPr>
      <w:r w:rsidRPr="0089759B">
        <w:rPr>
          <w:rFonts w:ascii="Cambria" w:eastAsia="MS Mincho" w:hAnsi="Cambria"/>
          <w:b/>
          <w:bCs/>
        </w:rPr>
        <w:t>To make accurate predictions, you need to:</w:t>
      </w:r>
    </w:p>
    <w:p w:rsidR="00745B5C" w:rsidRPr="0089759B" w:rsidRDefault="00745B5C" w:rsidP="00745B5C">
      <w:pPr>
        <w:spacing w:after="0"/>
        <w:rPr>
          <w:rFonts w:ascii="Cambria" w:eastAsia="MS Mincho" w:hAnsi="Cambria"/>
          <w:b/>
          <w:bCs/>
        </w:rPr>
      </w:pPr>
    </w:p>
    <w:p w:rsidR="00745B5C" w:rsidRPr="0089759B" w:rsidRDefault="00745B5C" w:rsidP="00745B5C">
      <w:pPr>
        <w:spacing w:after="0"/>
        <w:rPr>
          <w:rFonts w:ascii="Cambria" w:eastAsia="MS Mincho" w:hAnsi="Cambria"/>
          <w:b/>
          <w:bCs/>
        </w:rPr>
      </w:pPr>
      <w:r w:rsidRPr="0089759B">
        <w:rPr>
          <w:rFonts w:ascii="Cambria" w:eastAsia="MS Mincho" w:hAnsi="Cambria"/>
          <w:b/>
          <w:bCs/>
          <w:noProof/>
        </w:rPr>
        <w:drawing>
          <wp:inline distT="0" distB="0" distL="0" distR="0" wp14:anchorId="1EE26326" wp14:editId="6E02741B">
            <wp:extent cx="5486400" cy="32200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stand.png"/>
                    <pic:cNvPicPr/>
                  </pic:nvPicPr>
                  <pic:blipFill>
                    <a:blip r:embed="rId8">
                      <a:extLst>
                        <a:ext uri="{28A0092B-C50C-407E-A947-70E740481C1C}">
                          <a14:useLocalDpi xmlns:a14="http://schemas.microsoft.com/office/drawing/2010/main" val="0"/>
                        </a:ext>
                      </a:extLst>
                    </a:blip>
                    <a:stretch>
                      <a:fillRect/>
                    </a:stretch>
                  </pic:blipFill>
                  <pic:spPr>
                    <a:xfrm>
                      <a:off x="0" y="0"/>
                      <a:ext cx="5487228" cy="3220571"/>
                    </a:xfrm>
                    <a:prstGeom prst="rect">
                      <a:avLst/>
                    </a:prstGeom>
                  </pic:spPr>
                </pic:pic>
              </a:graphicData>
            </a:graphic>
          </wp:inline>
        </w:drawing>
      </w:r>
    </w:p>
    <w:p w:rsidR="00745B5C" w:rsidRPr="0089759B" w:rsidRDefault="00745B5C" w:rsidP="00745B5C">
      <w:pPr>
        <w:keepNext/>
        <w:keepLines/>
        <w:numPr>
          <w:ilvl w:val="2"/>
          <w:numId w:val="0"/>
        </w:numPr>
        <w:spacing w:before="200" w:after="0"/>
        <w:ind w:left="720" w:hanging="720"/>
        <w:outlineLvl w:val="2"/>
        <w:rPr>
          <w:rFonts w:ascii="Calibri" w:eastAsia="MS Gothic" w:hAnsi="Calibri"/>
          <w:b/>
          <w:bCs/>
          <w:color w:val="4F81BD"/>
        </w:rPr>
      </w:pPr>
      <w:r w:rsidRPr="0089759B">
        <w:rPr>
          <w:rFonts w:ascii="Calibri" w:eastAsia="MS Gothic" w:hAnsi="Calibri"/>
          <w:b/>
          <w:bCs/>
          <w:color w:val="4F81BD"/>
        </w:rPr>
        <w:t>C</w:t>
      </w:r>
      <w:r w:rsidRPr="0089759B">
        <w:rPr>
          <w:rFonts w:ascii="Calibri" w:eastAsia="MS Gothic" w:hAnsi="Calibri"/>
          <w:b/>
          <w:bCs/>
          <w:color w:val="4F81BD"/>
          <w:sz w:val="32"/>
          <w:szCs w:val="32"/>
        </w:rPr>
        <w:t>H</w:t>
      </w:r>
      <w:r w:rsidRPr="0089759B">
        <w:rPr>
          <w:rFonts w:ascii="Calibri" w:eastAsia="MS Gothic" w:hAnsi="Calibri"/>
          <w:b/>
          <w:bCs/>
          <w:color w:val="4F81BD"/>
        </w:rPr>
        <w:t>AMPS: More Info</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"More Info" feature on the forecasting website (platform) gives you the resolution criteria.</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noProof/>
        </w:rPr>
        <w:drawing>
          <wp:inline distT="0" distB="0" distL="0" distR="0" wp14:anchorId="6F2D1EB3" wp14:editId="30FFB2A3">
            <wp:extent cx="5486400" cy="30793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tfor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079376"/>
                    </a:xfrm>
                    <a:prstGeom prst="rect">
                      <a:avLst/>
                    </a:prstGeom>
                  </pic:spPr>
                </pic:pic>
              </a:graphicData>
            </a:graphic>
          </wp:inline>
        </w:drawing>
      </w: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lastRenderedPageBreak/>
        <w:t>CH</w:t>
      </w:r>
      <w:r w:rsidRPr="0089759B">
        <w:rPr>
          <w:rFonts w:ascii="Calibri" w:eastAsia="MS Gothic" w:hAnsi="Calibri"/>
          <w:b/>
          <w:bCs/>
          <w:color w:val="4F81BD"/>
          <w:sz w:val="32"/>
          <w:szCs w:val="32"/>
        </w:rPr>
        <w:t>A</w:t>
      </w:r>
      <w:r w:rsidRPr="0089759B">
        <w:rPr>
          <w:rFonts w:ascii="Calibri" w:eastAsia="MS Gothic" w:hAnsi="Calibri"/>
          <w:b/>
          <w:bCs/>
          <w:color w:val="4F81BD"/>
          <w:sz w:val="26"/>
          <w:szCs w:val="26"/>
        </w:rPr>
        <w:t>MPS – Adjust and update forecasts when appropriate</w:t>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CH</w:t>
      </w:r>
      <w:r w:rsidRPr="0089759B">
        <w:rPr>
          <w:rFonts w:ascii="Calibri" w:eastAsia="MS Gothic" w:hAnsi="Calibri"/>
          <w:b/>
          <w:bCs/>
          <w:color w:val="4F81BD"/>
          <w:sz w:val="32"/>
          <w:szCs w:val="32"/>
        </w:rPr>
        <w:t>A</w:t>
      </w:r>
      <w:r w:rsidRPr="0089759B">
        <w:rPr>
          <w:rFonts w:ascii="Calibri" w:eastAsia="MS Gothic" w:hAnsi="Calibri"/>
          <w:b/>
          <w:bCs/>
          <w:color w:val="4F81BD"/>
          <w:sz w:val="26"/>
          <w:szCs w:val="26"/>
        </w:rPr>
        <w:t>MPS: Adjust often</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7"/>
        </w:numPr>
        <w:spacing w:after="0"/>
        <w:contextualSpacing/>
        <w:rPr>
          <w:rFonts w:ascii="Cambria" w:eastAsia="MS Mincho" w:hAnsi="Cambria"/>
        </w:rPr>
      </w:pPr>
      <w:r w:rsidRPr="0089759B">
        <w:rPr>
          <w:rFonts w:ascii="Cambria" w:eastAsia="MS Mincho" w:hAnsi="Cambria"/>
        </w:rPr>
        <w:t>Adjusting your forecasts as events dictate is another key to forecasting success.</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17"/>
        </w:numPr>
        <w:spacing w:after="0"/>
        <w:contextualSpacing/>
        <w:rPr>
          <w:rFonts w:ascii="Cambria" w:eastAsia="MS Mincho" w:hAnsi="Cambria"/>
        </w:rPr>
      </w:pPr>
      <w:r w:rsidRPr="0089759B">
        <w:rPr>
          <w:rFonts w:ascii="Cambria" w:eastAsia="MS Mincho" w:hAnsi="Cambria"/>
        </w:rPr>
        <w:t>Forecasting is not just about guessing once and walking away. It is about updating and converging on the truth as quickly as possible.</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7"/>
        </w:numPr>
        <w:spacing w:after="0"/>
        <w:contextualSpacing/>
        <w:rPr>
          <w:rFonts w:ascii="Cambria" w:eastAsia="MS Mincho" w:hAnsi="Cambria"/>
        </w:rPr>
      </w:pPr>
      <w:r w:rsidRPr="0089759B">
        <w:rPr>
          <w:rFonts w:ascii="Cambria" w:eastAsia="MS Mincho" w:hAnsi="Cambria"/>
        </w:rPr>
        <w:t>Your predictions should reflect your best estimate at that moment. Stale forecasts will hurt your Brier score.</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17"/>
        </w:numPr>
        <w:spacing w:after="0"/>
        <w:contextualSpacing/>
        <w:rPr>
          <w:rFonts w:ascii="Cambria" w:eastAsia="MS Mincho" w:hAnsi="Cambria"/>
        </w:rPr>
      </w:pPr>
      <w:r w:rsidRPr="0089759B">
        <w:rPr>
          <w:rFonts w:ascii="Cambria" w:eastAsia="MS Mincho" w:hAnsi="Cambria"/>
        </w:rPr>
        <w:t>Our best forecasters regularly update their forecasts to take account of:</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1"/>
          <w:numId w:val="17"/>
        </w:numPr>
        <w:spacing w:after="0"/>
        <w:contextualSpacing/>
        <w:rPr>
          <w:rFonts w:ascii="Cambria" w:eastAsia="MS Mincho" w:hAnsi="Cambria"/>
        </w:rPr>
      </w:pPr>
      <w:r w:rsidRPr="0089759B">
        <w:rPr>
          <w:rFonts w:ascii="Cambria" w:eastAsia="MS Mincho" w:hAnsi="Cambria"/>
        </w:rPr>
        <w:t>New information</w:t>
      </w:r>
    </w:p>
    <w:p w:rsidR="00745B5C" w:rsidRPr="0089759B" w:rsidRDefault="00745B5C" w:rsidP="00745B5C">
      <w:pPr>
        <w:numPr>
          <w:ilvl w:val="1"/>
          <w:numId w:val="17"/>
        </w:numPr>
        <w:spacing w:after="0"/>
        <w:contextualSpacing/>
        <w:rPr>
          <w:rFonts w:ascii="Cambria" w:eastAsia="MS Mincho" w:hAnsi="Cambria"/>
        </w:rPr>
      </w:pPr>
      <w:r w:rsidRPr="0089759B">
        <w:rPr>
          <w:rFonts w:ascii="Cambria" w:eastAsia="MS Mincho" w:hAnsi="Cambria"/>
        </w:rPr>
        <w:t>Their changing assessments of prior information</w:t>
      </w:r>
    </w:p>
    <w:p w:rsidR="00745B5C" w:rsidRPr="0089759B" w:rsidRDefault="00745B5C" w:rsidP="00745B5C">
      <w:pPr>
        <w:numPr>
          <w:ilvl w:val="1"/>
          <w:numId w:val="17"/>
        </w:numPr>
        <w:spacing w:after="0"/>
        <w:contextualSpacing/>
        <w:rPr>
          <w:rFonts w:ascii="Cambria" w:eastAsia="MS Mincho" w:hAnsi="Cambria"/>
        </w:rPr>
      </w:pPr>
      <w:r w:rsidRPr="0089759B">
        <w:rPr>
          <w:rFonts w:ascii="Cambria" w:eastAsia="MS Mincho" w:hAnsi="Cambria"/>
        </w:rPr>
        <w:t>The passage of time</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CH</w:t>
      </w:r>
      <w:r w:rsidRPr="0089759B">
        <w:rPr>
          <w:rFonts w:ascii="Calibri" w:eastAsia="MS Gothic" w:hAnsi="Calibri"/>
          <w:b/>
          <w:bCs/>
          <w:color w:val="4F81BD"/>
          <w:sz w:val="32"/>
          <w:szCs w:val="32"/>
        </w:rPr>
        <w:t>A</w:t>
      </w:r>
      <w:r w:rsidRPr="0089759B">
        <w:rPr>
          <w:rFonts w:ascii="Calibri" w:eastAsia="MS Gothic" w:hAnsi="Calibri"/>
          <w:b/>
          <w:bCs/>
          <w:color w:val="4F81BD"/>
          <w:sz w:val="26"/>
          <w:szCs w:val="26"/>
        </w:rPr>
        <w:t>MPS: Platform</w:t>
      </w:r>
    </w:p>
    <w:p w:rsidR="00745B5C" w:rsidRPr="0089759B" w:rsidRDefault="00745B5C" w:rsidP="00745B5C">
      <w:pPr>
        <w:spacing w:after="0"/>
        <w:jc w:val="center"/>
        <w:rPr>
          <w:rFonts w:ascii="Cambria" w:eastAsia="MS Mincho" w:hAnsi="Cambria"/>
        </w:rPr>
      </w:pPr>
      <w:r w:rsidRPr="0089759B">
        <w:rPr>
          <w:rFonts w:ascii="Cambria" w:eastAsia="MS Mincho" w:hAnsi="Cambria"/>
        </w:rPr>
        <w:t>The forecasting platform can help you to identify questions that you should revisit for possible updating.</w:t>
      </w:r>
    </w:p>
    <w:p w:rsidR="00745B5C" w:rsidRPr="0089759B" w:rsidRDefault="00745B5C" w:rsidP="00745B5C">
      <w:pPr>
        <w:spacing w:after="0"/>
        <w:jc w:val="center"/>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noProof/>
        </w:rPr>
        <w:drawing>
          <wp:inline distT="0" distB="0" distL="0" distR="0" wp14:anchorId="5C74E98F" wp14:editId="0C3104B2">
            <wp:extent cx="5486400" cy="2868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recast2.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868295"/>
                    </a:xfrm>
                    <a:prstGeom prst="rect">
                      <a:avLst/>
                    </a:prstGeom>
                  </pic:spPr>
                </pic:pic>
              </a:graphicData>
            </a:graphic>
          </wp:inline>
        </w:drawing>
      </w: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lastRenderedPageBreak/>
        <w:t>CHA</w:t>
      </w:r>
      <w:r w:rsidRPr="0089759B">
        <w:rPr>
          <w:rFonts w:ascii="Calibri" w:eastAsia="MS Gothic" w:hAnsi="Calibri"/>
          <w:b/>
          <w:bCs/>
          <w:color w:val="4F81BD"/>
          <w:sz w:val="32"/>
          <w:szCs w:val="32"/>
        </w:rPr>
        <w:t>M</w:t>
      </w:r>
      <w:r w:rsidRPr="0089759B">
        <w:rPr>
          <w:rFonts w:ascii="Calibri" w:eastAsia="MS Gothic" w:hAnsi="Calibri"/>
          <w:b/>
          <w:bCs/>
          <w:color w:val="4F81BD"/>
          <w:sz w:val="26"/>
          <w:szCs w:val="26"/>
        </w:rPr>
        <w:t>PS – Mathematical and statistical models can sometimes be helpful</w:t>
      </w:r>
    </w:p>
    <w:p w:rsidR="00745B5C" w:rsidRPr="0089759B" w:rsidRDefault="00745B5C" w:rsidP="00745B5C">
      <w:pPr>
        <w:keepNext/>
        <w:keepLines/>
        <w:numPr>
          <w:ilvl w:val="2"/>
          <w:numId w:val="0"/>
        </w:numPr>
        <w:spacing w:before="200" w:after="0"/>
        <w:ind w:left="720" w:hanging="720"/>
        <w:outlineLvl w:val="2"/>
        <w:rPr>
          <w:rFonts w:ascii="Calibri" w:eastAsia="MS Gothic" w:hAnsi="Calibri"/>
          <w:b/>
          <w:bCs/>
          <w:color w:val="4F81BD"/>
        </w:rPr>
      </w:pPr>
      <w:r w:rsidRPr="0089759B">
        <w:rPr>
          <w:rFonts w:ascii="Calibri" w:eastAsia="MS Gothic" w:hAnsi="Calibri"/>
          <w:b/>
          <w:bCs/>
          <w:color w:val="4F81BD"/>
        </w:rPr>
        <w:t>CHA</w:t>
      </w:r>
      <w:r w:rsidRPr="0089759B">
        <w:rPr>
          <w:rFonts w:ascii="Calibri" w:eastAsia="MS Gothic" w:hAnsi="Calibri"/>
          <w:b/>
          <w:bCs/>
          <w:color w:val="4F81BD"/>
          <w:sz w:val="28"/>
        </w:rPr>
        <w:t>M</w:t>
      </w:r>
      <w:r w:rsidRPr="0089759B">
        <w:rPr>
          <w:rFonts w:ascii="Calibri" w:eastAsia="MS Gothic" w:hAnsi="Calibri"/>
          <w:b/>
          <w:bCs/>
          <w:color w:val="4F81BD"/>
        </w:rPr>
        <w:t>PS: Mathematical and statistical models</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19"/>
        </w:numPr>
        <w:spacing w:after="0"/>
        <w:contextualSpacing/>
        <w:rPr>
          <w:rFonts w:ascii="Cambria" w:eastAsia="MS Mincho" w:hAnsi="Cambria"/>
        </w:rPr>
      </w:pPr>
      <w:r w:rsidRPr="0089759B">
        <w:rPr>
          <w:rFonts w:ascii="Cambria" w:eastAsia="MS Mincho" w:hAnsi="Cambria"/>
        </w:rPr>
        <w:t>When models with good track records are available, exploit them.</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19"/>
        </w:numPr>
        <w:spacing w:after="0"/>
        <w:contextualSpacing/>
        <w:rPr>
          <w:rFonts w:ascii="Cambria" w:eastAsia="MS Mincho" w:hAnsi="Cambria"/>
        </w:rPr>
      </w:pPr>
      <w:r w:rsidRPr="0089759B">
        <w:rPr>
          <w:rFonts w:ascii="Cambria" w:eastAsia="MS Mincho" w:hAnsi="Cambria"/>
        </w:rPr>
        <w:t>Many different models can help you make a better forecast:</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1"/>
          <w:numId w:val="19"/>
        </w:numPr>
        <w:spacing w:after="0"/>
        <w:contextualSpacing/>
        <w:rPr>
          <w:rFonts w:ascii="Cambria" w:eastAsia="MS Mincho" w:hAnsi="Cambria"/>
        </w:rPr>
      </w:pPr>
      <w:r w:rsidRPr="0089759B">
        <w:rPr>
          <w:rFonts w:ascii="Cambria" w:eastAsia="MS Mincho" w:hAnsi="Cambria"/>
        </w:rPr>
        <w:t>Simple averaging (e.g., mean, median, mode)</w:t>
      </w:r>
    </w:p>
    <w:p w:rsidR="00745B5C" w:rsidRPr="0089759B" w:rsidRDefault="00745B5C" w:rsidP="00745B5C">
      <w:pPr>
        <w:numPr>
          <w:ilvl w:val="1"/>
          <w:numId w:val="19"/>
        </w:numPr>
        <w:spacing w:after="0"/>
        <w:contextualSpacing/>
        <w:rPr>
          <w:rFonts w:ascii="Cambria" w:eastAsia="MS Mincho" w:hAnsi="Cambria"/>
        </w:rPr>
      </w:pPr>
      <w:r w:rsidRPr="0089759B">
        <w:rPr>
          <w:rFonts w:ascii="Cambria" w:eastAsia="MS Mincho" w:hAnsi="Cambria"/>
        </w:rPr>
        <w:t>Weighted averaging (e.g., higher weights to recent forecasts)</w:t>
      </w:r>
    </w:p>
    <w:p w:rsidR="00745B5C" w:rsidRPr="0089759B" w:rsidRDefault="00745B5C" w:rsidP="00745B5C">
      <w:pPr>
        <w:numPr>
          <w:ilvl w:val="1"/>
          <w:numId w:val="19"/>
        </w:numPr>
        <w:spacing w:after="0"/>
        <w:contextualSpacing/>
        <w:rPr>
          <w:rFonts w:ascii="Cambria" w:eastAsia="MS Mincho" w:hAnsi="Cambria"/>
        </w:rPr>
      </w:pPr>
      <w:r w:rsidRPr="0089759B">
        <w:rPr>
          <w:rFonts w:ascii="Cambria" w:eastAsia="MS Mincho" w:hAnsi="Cambria"/>
        </w:rPr>
        <w:t>Domain-specific models (e.g., use only forecasters who have answered similar events correctly)</w:t>
      </w: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Be relentlessly opportunistic in seeking out useful models</w:t>
      </w:r>
    </w:p>
    <w:p w:rsidR="00745B5C" w:rsidRPr="0089759B" w:rsidRDefault="00745B5C" w:rsidP="00745B5C">
      <w:pPr>
        <w:spacing w:after="0"/>
        <w:rPr>
          <w:rFonts w:ascii="Cambria" w:eastAsia="MS Mincho" w:hAnsi="Cambria"/>
        </w:rPr>
      </w:pPr>
      <w:r w:rsidRPr="0089759B">
        <w:rPr>
          <w:rFonts w:ascii="Cambria" w:eastAsia="MS Mincho" w:hAnsi="Cambria"/>
          <w:noProof/>
        </w:rPr>
        <w:drawing>
          <wp:inline distT="0" distB="0" distL="0" distR="0" wp14:anchorId="4F8DC9CD" wp14:editId="0D838C9A">
            <wp:extent cx="5486400" cy="1889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portunistic.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1889760"/>
                    </a:xfrm>
                    <a:prstGeom prst="rect">
                      <a:avLst/>
                    </a:prstGeom>
                  </pic:spPr>
                </pic:pic>
              </a:graphicData>
            </a:graphic>
          </wp:inline>
        </w:drawing>
      </w: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CHAM</w:t>
      </w:r>
      <w:r w:rsidRPr="0089759B">
        <w:rPr>
          <w:rFonts w:ascii="Calibri" w:eastAsia="MS Gothic" w:hAnsi="Calibri"/>
          <w:b/>
          <w:bCs/>
          <w:color w:val="4F81BD"/>
          <w:sz w:val="32"/>
          <w:szCs w:val="32"/>
        </w:rPr>
        <w:t>P</w:t>
      </w:r>
      <w:r w:rsidRPr="0089759B">
        <w:rPr>
          <w:rFonts w:ascii="Calibri" w:eastAsia="MS Gothic" w:hAnsi="Calibri"/>
          <w:b/>
          <w:bCs/>
          <w:color w:val="4F81BD"/>
          <w:sz w:val="26"/>
          <w:szCs w:val="26"/>
        </w:rPr>
        <w:t>S – Post-mortem analysis after outcomes are known</w:t>
      </w:r>
    </w:p>
    <w:p w:rsidR="00745B5C" w:rsidRPr="0089759B" w:rsidRDefault="00745B5C" w:rsidP="00745B5C">
      <w:pPr>
        <w:keepNext/>
        <w:keepLines/>
        <w:numPr>
          <w:ilvl w:val="2"/>
          <w:numId w:val="0"/>
        </w:numPr>
        <w:spacing w:before="200" w:after="0"/>
        <w:ind w:left="720" w:hanging="720"/>
        <w:outlineLvl w:val="2"/>
        <w:rPr>
          <w:rFonts w:ascii="Calibri" w:eastAsia="MS Gothic" w:hAnsi="Calibri"/>
          <w:b/>
          <w:bCs/>
          <w:color w:val="4F81BD"/>
        </w:rPr>
      </w:pPr>
      <w:r w:rsidRPr="0089759B">
        <w:rPr>
          <w:rFonts w:ascii="Calibri" w:eastAsia="MS Gothic" w:hAnsi="Calibri"/>
          <w:b/>
          <w:bCs/>
          <w:color w:val="4F81BD"/>
        </w:rPr>
        <w:t>CHAM</w:t>
      </w:r>
      <w:r w:rsidRPr="0089759B">
        <w:rPr>
          <w:rFonts w:ascii="Calibri" w:eastAsia="MS Gothic" w:hAnsi="Calibri"/>
          <w:b/>
          <w:bCs/>
          <w:color w:val="4F81BD"/>
          <w:sz w:val="28"/>
          <w:szCs w:val="28"/>
        </w:rPr>
        <w:t>P</w:t>
      </w:r>
      <w:r w:rsidRPr="0089759B">
        <w:rPr>
          <w:rFonts w:ascii="Calibri" w:eastAsia="MS Gothic" w:hAnsi="Calibri"/>
          <w:b/>
          <w:bCs/>
          <w:color w:val="4F81BD"/>
        </w:rPr>
        <w:t>S – Post-mortems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One of the greatest tension is to draw a narrow or broad conclusion from post-mortem analysis.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Ask yourself if your mistakes are from uncertainty (just bad luck) or a product of your forecasting strategy (a failure to apply the principles of training, human error). If it is uncertainty then don't over think it.</w:t>
      </w:r>
    </w:p>
    <w:p w:rsidR="00745B5C" w:rsidRPr="0089759B" w:rsidRDefault="00745B5C" w:rsidP="00745B5C">
      <w:pPr>
        <w:keepNext/>
        <w:keepLines/>
        <w:numPr>
          <w:ilvl w:val="2"/>
          <w:numId w:val="0"/>
        </w:numPr>
        <w:spacing w:before="200" w:after="0"/>
        <w:ind w:left="720" w:hanging="720"/>
        <w:outlineLvl w:val="2"/>
        <w:rPr>
          <w:rFonts w:ascii="Calibri" w:eastAsia="MS Gothic" w:hAnsi="Calibri"/>
          <w:b/>
          <w:bCs/>
          <w:color w:val="4F81BD"/>
        </w:rPr>
      </w:pPr>
      <w:r w:rsidRPr="0089759B">
        <w:rPr>
          <w:rFonts w:ascii="Calibri" w:eastAsia="MS Gothic" w:hAnsi="Calibri"/>
          <w:b/>
          <w:bCs/>
          <w:color w:val="4F81BD"/>
        </w:rPr>
        <w:t>CHAM</w:t>
      </w:r>
      <w:r w:rsidRPr="0089759B">
        <w:rPr>
          <w:rFonts w:ascii="Calibri" w:eastAsia="MS Gothic" w:hAnsi="Calibri"/>
          <w:b/>
          <w:bCs/>
          <w:color w:val="4F81BD"/>
          <w:sz w:val="28"/>
          <w:szCs w:val="28"/>
        </w:rPr>
        <w:t>P</w:t>
      </w:r>
      <w:r w:rsidRPr="0089759B">
        <w:rPr>
          <w:rFonts w:ascii="Calibri" w:eastAsia="MS Gothic" w:hAnsi="Calibri"/>
          <w:b/>
          <w:bCs/>
          <w:color w:val="4F81BD"/>
        </w:rPr>
        <w:t>S – Post-mortem analysis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The following describes problems from post-mortem analysis. Each one is matched to its proper solution:</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noProof/>
        </w:rPr>
      </w:pPr>
    </w:p>
    <w:p w:rsidR="00745B5C" w:rsidRPr="0089759B" w:rsidRDefault="00745B5C" w:rsidP="00745B5C">
      <w:pPr>
        <w:spacing w:after="0"/>
        <w:rPr>
          <w:rFonts w:ascii="Cambria" w:eastAsia="MS Mincho" w:hAnsi="Cambria"/>
        </w:rPr>
      </w:pPr>
      <w:r w:rsidRPr="0089759B">
        <w:rPr>
          <w:rFonts w:ascii="Cambria" w:eastAsia="MS Mincho" w:hAnsi="Cambria"/>
          <w:noProof/>
        </w:rPr>
        <w:lastRenderedPageBreak/>
        <w:drawing>
          <wp:inline distT="0" distB="0" distL="0" distR="0" wp14:anchorId="0AB59C3B" wp14:editId="74374452">
            <wp:extent cx="5486400" cy="1605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alysis.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1605280"/>
                    </a:xfrm>
                    <a:prstGeom prst="rect">
                      <a:avLst/>
                    </a:prstGeom>
                  </pic:spPr>
                </pic:pic>
              </a:graphicData>
            </a:graphic>
          </wp:inline>
        </w:drawing>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p>
    <w:p w:rsidR="00745B5C" w:rsidRPr="0089759B" w:rsidRDefault="00745B5C" w:rsidP="00745B5C">
      <w:pPr>
        <w:rPr>
          <w:rFonts w:ascii="Calibri" w:eastAsia="MS Gothic" w:hAnsi="Calibri"/>
          <w:b/>
          <w:bCs/>
          <w:color w:val="4F81BD"/>
          <w:sz w:val="26"/>
          <w:szCs w:val="26"/>
        </w:rPr>
      </w:pPr>
      <w:r w:rsidRPr="0089759B">
        <w:rPr>
          <w:rFonts w:ascii="Calibri" w:eastAsia="MS Gothic" w:hAnsi="Calibri"/>
          <w:b/>
          <w:bCs/>
          <w:color w:val="4F81BD"/>
          <w:sz w:val="26"/>
          <w:szCs w:val="26"/>
        </w:rPr>
        <w:t>Be careful about how much you adjust your strategy</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Over-reaction can hurt you, too!!</w:t>
      </w:r>
    </w:p>
    <w:p w:rsidR="00745B5C" w:rsidRPr="0089759B" w:rsidRDefault="00745B5C" w:rsidP="00745B5C">
      <w:pPr>
        <w:spacing w:after="0"/>
        <w:rPr>
          <w:rFonts w:ascii="Cambria" w:eastAsia="MS Mincho" w:hAnsi="Cambria"/>
        </w:rPr>
      </w:pPr>
      <w:r w:rsidRPr="0089759B">
        <w:rPr>
          <w:rFonts w:ascii="Cambria" w:eastAsia="MS Mincho" w:hAnsi="Cambria"/>
          <w:b/>
          <w:bCs/>
        </w:rPr>
        <w:t>The mirror-image mistake:</w:t>
      </w:r>
      <w:r w:rsidRPr="0089759B">
        <w:rPr>
          <w:rFonts w:ascii="Cambria" w:eastAsia="MS Mincho" w:hAnsi="Cambria"/>
        </w:rPr>
        <w:t xml:space="preserve"> When we catch ourselves making an error in one direction, we often over-compensate and try the exact opposite strategy.</w:t>
      </w:r>
    </w:p>
    <w:p w:rsidR="00745B5C" w:rsidRPr="0089759B" w:rsidRDefault="00745B5C" w:rsidP="00745B5C">
      <w:pPr>
        <w:spacing w:after="0"/>
        <w:rPr>
          <w:rFonts w:ascii="Cambria" w:eastAsia="MS Mincho" w:hAnsi="Cambria"/>
        </w:rPr>
      </w:pPr>
    </w:p>
    <w:p w:rsidR="00745B5C" w:rsidRDefault="00745B5C" w:rsidP="00745B5C">
      <w:pPr>
        <w:rPr>
          <w:rFonts w:ascii="Calibri" w:eastAsia="MS Gothic" w:hAnsi="Calibri"/>
          <w:b/>
          <w:bCs/>
          <w:color w:val="4F81BD"/>
          <w:sz w:val="26"/>
          <w:szCs w:val="26"/>
        </w:rPr>
      </w:pPr>
    </w:p>
    <w:p w:rsidR="00745B5C" w:rsidRPr="0089759B" w:rsidRDefault="00745B5C" w:rsidP="00745B5C">
      <w:pPr>
        <w:rPr>
          <w:rFonts w:ascii="Calibri" w:eastAsia="MS Gothic" w:hAnsi="Calibri"/>
          <w:b/>
          <w:bCs/>
          <w:color w:val="4F81BD"/>
          <w:sz w:val="26"/>
          <w:szCs w:val="26"/>
        </w:rPr>
      </w:pPr>
      <w:r w:rsidRPr="0089759B">
        <w:rPr>
          <w:rFonts w:ascii="Calibri" w:eastAsia="MS Gothic" w:hAnsi="Calibri"/>
          <w:b/>
          <w:bCs/>
          <w:color w:val="4F81BD"/>
          <w:sz w:val="26"/>
          <w:szCs w:val="26"/>
        </w:rPr>
        <w:t>CHAMP</w:t>
      </w:r>
      <w:r w:rsidRPr="0089759B">
        <w:rPr>
          <w:rFonts w:ascii="Calibri" w:eastAsia="MS Gothic" w:hAnsi="Calibri"/>
          <w:b/>
          <w:bCs/>
          <w:color w:val="4F81BD"/>
          <w:sz w:val="32"/>
          <w:szCs w:val="32"/>
        </w:rPr>
        <w:t>S</w:t>
      </w:r>
      <w:r w:rsidRPr="0089759B">
        <w:rPr>
          <w:rFonts w:ascii="Calibri" w:eastAsia="MS Gothic" w:hAnsi="Calibri"/>
          <w:b/>
          <w:bCs/>
          <w:color w:val="4F81BD"/>
          <w:sz w:val="26"/>
          <w:szCs w:val="26"/>
        </w:rPr>
        <w:t>: Select the right questions</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0"/>
        </w:numPr>
        <w:spacing w:after="0"/>
        <w:contextualSpacing/>
        <w:rPr>
          <w:rFonts w:ascii="Cambria" w:eastAsia="MS Mincho" w:hAnsi="Cambria"/>
        </w:rPr>
      </w:pPr>
      <w:r w:rsidRPr="0089759B">
        <w:rPr>
          <w:rFonts w:ascii="Cambria" w:eastAsia="MS Mincho" w:hAnsi="Cambria"/>
        </w:rPr>
        <w:t>Selecting the right questions may be as important as doing your best to answer them.</w:t>
      </w:r>
    </w:p>
    <w:p w:rsidR="00745B5C" w:rsidRPr="0089759B" w:rsidRDefault="00745B5C" w:rsidP="00745B5C">
      <w:pPr>
        <w:spacing w:after="0"/>
        <w:ind w:firstLine="60"/>
        <w:rPr>
          <w:rFonts w:ascii="Cambria" w:eastAsia="MS Mincho" w:hAnsi="Cambria"/>
        </w:rPr>
      </w:pPr>
    </w:p>
    <w:p w:rsidR="00745B5C" w:rsidRPr="0089759B" w:rsidRDefault="00745B5C" w:rsidP="00745B5C">
      <w:pPr>
        <w:numPr>
          <w:ilvl w:val="0"/>
          <w:numId w:val="20"/>
        </w:numPr>
        <w:spacing w:after="0"/>
        <w:contextualSpacing/>
        <w:rPr>
          <w:rFonts w:ascii="Cambria" w:eastAsia="MS Mincho" w:hAnsi="Cambria"/>
        </w:rPr>
      </w:pPr>
      <w:r w:rsidRPr="0089759B">
        <w:rPr>
          <w:rFonts w:ascii="Cambria" w:eastAsia="MS Mincho" w:hAnsi="Cambria"/>
        </w:rPr>
        <w:t>Just as physicians have to choose how to allocate attention across patients, you will have to choose how to allocate attention across questions.</w:t>
      </w:r>
    </w:p>
    <w:p w:rsidR="00745B5C" w:rsidRPr="0089759B" w:rsidRDefault="00745B5C" w:rsidP="00745B5C">
      <w:pPr>
        <w:spacing w:after="0"/>
        <w:ind w:left="720"/>
        <w:contextualSpacing/>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noProof/>
        </w:rPr>
        <w:drawing>
          <wp:inline distT="0" distB="0" distL="0" distR="0" wp14:anchorId="0744E32C" wp14:editId="78CBB951">
            <wp:extent cx="5486400" cy="7753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p.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775335"/>
                    </a:xfrm>
                    <a:prstGeom prst="rect">
                      <a:avLst/>
                    </a:prstGeom>
                  </pic:spPr>
                </pic:pic>
              </a:graphicData>
            </a:graphic>
          </wp:inline>
        </w:drawing>
      </w:r>
    </w:p>
    <w:p w:rsidR="00745B5C" w:rsidRPr="0089759B" w:rsidRDefault="00745B5C" w:rsidP="00745B5C">
      <w:pPr>
        <w:spacing w:after="0"/>
        <w:ind w:left="5040" w:right="4320" w:firstLine="720"/>
        <w:rPr>
          <w:rFonts w:ascii="Cambria" w:eastAsia="MS Mincho" w:hAnsi="Cambria"/>
        </w:rPr>
      </w:pPr>
    </w:p>
    <w:p w:rsidR="00745B5C" w:rsidRPr="0089759B" w:rsidRDefault="00745B5C" w:rsidP="00745B5C">
      <w:pPr>
        <w:spacing w:after="0"/>
        <w:ind w:left="576" w:right="4320"/>
        <w:rPr>
          <w:rFonts w:ascii="Cambria" w:eastAsia="MS Mincho" w:hAnsi="Cambria"/>
        </w:rPr>
      </w:pPr>
    </w:p>
    <w:p w:rsidR="00745B5C" w:rsidRPr="0089759B" w:rsidRDefault="00745B5C" w:rsidP="00745B5C">
      <w:pPr>
        <w:spacing w:after="0"/>
        <w:ind w:left="576" w:right="4320"/>
        <w:rPr>
          <w:rFonts w:ascii="Cambria" w:eastAsia="MS Mincho" w:hAnsi="Cambria"/>
        </w:rPr>
      </w:pPr>
    </w:p>
    <w:p w:rsidR="00745B5C" w:rsidRPr="0089759B" w:rsidRDefault="00745B5C" w:rsidP="00745B5C">
      <w:pPr>
        <w:spacing w:after="0"/>
        <w:ind w:left="576" w:right="4320"/>
        <w:rPr>
          <w:rFonts w:ascii="Cambria" w:eastAsia="MS Mincho" w:hAnsi="Cambria"/>
        </w:rPr>
      </w:pPr>
    </w:p>
    <w:p w:rsidR="00745B5C" w:rsidRDefault="00745B5C" w:rsidP="00745B5C">
      <w:pPr>
        <w:rPr>
          <w:rFonts w:ascii="Calibri" w:eastAsia="MS Gothic" w:hAnsi="Calibri"/>
          <w:b/>
          <w:bCs/>
          <w:color w:val="4F81BD"/>
          <w:sz w:val="26"/>
          <w:szCs w:val="26"/>
        </w:rPr>
      </w:pPr>
      <w:r>
        <w:rPr>
          <w:rFonts w:ascii="Calibri" w:eastAsia="MS Gothic" w:hAnsi="Calibri"/>
          <w:b/>
          <w:bCs/>
          <w:color w:val="4F81BD"/>
          <w:sz w:val="26"/>
          <w:szCs w:val="26"/>
        </w:rPr>
        <w:br w:type="page"/>
      </w:r>
    </w:p>
    <w:p w:rsidR="00745B5C" w:rsidRPr="0089759B" w:rsidRDefault="00745B5C" w:rsidP="00745B5C">
      <w:pPr>
        <w:keepNext/>
        <w:keepLines/>
        <w:numPr>
          <w:ilvl w:val="1"/>
          <w:numId w:val="0"/>
        </w:numPr>
        <w:spacing w:before="200" w:after="0"/>
        <w:outlineLvl w:val="1"/>
        <w:rPr>
          <w:rFonts w:ascii="Calibri" w:eastAsia="MS Gothic" w:hAnsi="Calibri"/>
          <w:b/>
          <w:bCs/>
          <w:color w:val="4F81BD"/>
          <w:sz w:val="26"/>
          <w:szCs w:val="26"/>
        </w:rPr>
      </w:pPr>
      <w:r w:rsidRPr="0089759B">
        <w:rPr>
          <w:rFonts w:ascii="Calibri" w:eastAsia="MS Gothic" w:hAnsi="Calibri"/>
          <w:b/>
          <w:bCs/>
          <w:color w:val="4F81BD"/>
          <w:sz w:val="26"/>
          <w:szCs w:val="26"/>
        </w:rPr>
        <w:lastRenderedPageBreak/>
        <w:t>CHAMP</w:t>
      </w:r>
      <w:r w:rsidRPr="0089759B">
        <w:rPr>
          <w:rFonts w:ascii="Calibri" w:eastAsia="MS Gothic" w:hAnsi="Calibri"/>
          <w:b/>
          <w:bCs/>
          <w:color w:val="4F81BD"/>
          <w:sz w:val="32"/>
          <w:szCs w:val="32"/>
        </w:rPr>
        <w:t>S</w:t>
      </w:r>
      <w:r w:rsidRPr="0089759B">
        <w:rPr>
          <w:rFonts w:ascii="Calibri" w:eastAsia="MS Gothic" w:hAnsi="Calibri"/>
          <w:b/>
          <w:bCs/>
          <w:color w:val="4F81BD"/>
          <w:sz w:val="26"/>
          <w:szCs w:val="26"/>
        </w:rPr>
        <w:t>: Question clusters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Individual Forecasting Problems (“IFPs” or questions) will be organized into "clusters" with roughly 10 questions per cluster. These clusters will help you select the right IFP by region and sometimes by function.</w:t>
      </w:r>
    </w:p>
    <w:p w:rsidR="00745B5C" w:rsidRPr="0089759B" w:rsidRDefault="00745B5C" w:rsidP="00745B5C">
      <w:pPr>
        <w:spacing w:after="0"/>
        <w:rPr>
          <w:rFonts w:ascii="Cambria" w:eastAsia="MS Mincho" w:hAnsi="Cambria"/>
        </w:rPr>
      </w:pPr>
    </w:p>
    <w:p w:rsidR="00745B5C" w:rsidRPr="0089759B" w:rsidRDefault="00745B5C" w:rsidP="00745B5C">
      <w:pPr>
        <w:spacing w:after="0"/>
        <w:ind w:right="4320"/>
        <w:rPr>
          <w:rFonts w:ascii="Cambria" w:eastAsia="MS Mincho" w:hAnsi="Cambria"/>
        </w:rPr>
      </w:pPr>
      <w:r w:rsidRPr="0089759B">
        <w:rPr>
          <w:rFonts w:ascii="Cambria" w:eastAsia="MS Mincho" w:hAnsi="Cambria"/>
          <w:noProof/>
        </w:rPr>
        <w:drawing>
          <wp:inline distT="0" distB="0" distL="0" distR="0" wp14:anchorId="3A914A51" wp14:editId="72DCE2DC">
            <wp:extent cx="5486400" cy="3779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usters.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779520"/>
                    </a:xfrm>
                    <a:prstGeom prst="rect">
                      <a:avLst/>
                    </a:prstGeom>
                  </pic:spPr>
                </pic:pic>
              </a:graphicData>
            </a:graphic>
          </wp:inline>
        </w:drawing>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Be careful about which questions you take on</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1"/>
        </w:numPr>
        <w:spacing w:after="0"/>
        <w:contextualSpacing/>
        <w:rPr>
          <w:rFonts w:ascii="Cambria" w:eastAsia="MS Mincho" w:hAnsi="Cambria"/>
        </w:rPr>
      </w:pPr>
      <w:r w:rsidRPr="0089759B">
        <w:rPr>
          <w:rFonts w:ascii="Cambria" w:eastAsia="MS Mincho" w:hAnsi="Cambria"/>
        </w:rPr>
        <w:t>We expect 150 forecasting problems in Season 3, and few forecasters will be able to answer all well.</w:t>
      </w:r>
    </w:p>
    <w:p w:rsidR="00745B5C" w:rsidRPr="0089759B" w:rsidRDefault="00745B5C" w:rsidP="00745B5C">
      <w:pPr>
        <w:spacing w:after="0"/>
        <w:ind w:firstLine="60"/>
        <w:rPr>
          <w:rFonts w:ascii="Cambria" w:eastAsia="MS Mincho" w:hAnsi="Cambria"/>
        </w:rPr>
      </w:pPr>
    </w:p>
    <w:p w:rsidR="00745B5C" w:rsidRPr="0089759B" w:rsidRDefault="00745B5C" w:rsidP="00745B5C">
      <w:pPr>
        <w:numPr>
          <w:ilvl w:val="0"/>
          <w:numId w:val="21"/>
        </w:numPr>
        <w:spacing w:after="0"/>
        <w:contextualSpacing/>
        <w:rPr>
          <w:rFonts w:ascii="Cambria" w:eastAsia="MS Mincho" w:hAnsi="Cambria"/>
        </w:rPr>
      </w:pPr>
      <w:r w:rsidRPr="0089759B">
        <w:rPr>
          <w:rFonts w:ascii="Cambria" w:eastAsia="MS Mincho" w:hAnsi="Cambria"/>
        </w:rPr>
        <w:t>Scoring encourages you to select challenging questions on which you have a comparative advantage.</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1"/>
        </w:numPr>
        <w:spacing w:after="0"/>
        <w:contextualSpacing/>
        <w:rPr>
          <w:rFonts w:ascii="Cambria" w:eastAsia="MS Mincho" w:hAnsi="Cambria"/>
        </w:rPr>
      </w:pPr>
      <w:r w:rsidRPr="0089759B">
        <w:rPr>
          <w:rFonts w:ascii="Cambria" w:eastAsia="MS Mincho" w:hAnsi="Cambria"/>
        </w:rPr>
        <w:t>This means selecting some hard questions, not just easy ones (hard to beat the crowd on just easy questions).</w:t>
      </w:r>
    </w:p>
    <w:p w:rsidR="00745B5C" w:rsidRPr="0089759B" w:rsidRDefault="00745B5C" w:rsidP="00745B5C">
      <w:pPr>
        <w:spacing w:after="0"/>
        <w:ind w:left="720"/>
        <w:contextualSpacing/>
        <w:rPr>
          <w:rFonts w:ascii="Cambria" w:eastAsia="MS Mincho" w:hAnsi="Cambria"/>
        </w:rPr>
      </w:pPr>
    </w:p>
    <w:p w:rsidR="00745B5C" w:rsidRPr="0089759B" w:rsidRDefault="00745B5C" w:rsidP="00745B5C">
      <w:pPr>
        <w:spacing w:after="0"/>
        <w:ind w:left="360"/>
        <w:contextualSpacing/>
        <w:rPr>
          <w:rFonts w:ascii="Cambria" w:eastAsia="MS Mincho" w:hAnsi="Cambria"/>
        </w:rPr>
      </w:pPr>
      <w:r w:rsidRPr="0089759B">
        <w:rPr>
          <w:rFonts w:ascii="Cambria" w:eastAsia="MS Mincho" w:hAnsi="Cambria"/>
          <w:noProof/>
        </w:rPr>
        <w:drawing>
          <wp:inline distT="0" distB="0" distL="0" distR="0" wp14:anchorId="1EF7FF2B" wp14:editId="2B04E82B">
            <wp:extent cx="5293360" cy="8375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pdating.PNG"/>
                    <pic:cNvPicPr/>
                  </pic:nvPicPr>
                  <pic:blipFill>
                    <a:blip r:embed="rId15">
                      <a:extLst>
                        <a:ext uri="{28A0092B-C50C-407E-A947-70E740481C1C}">
                          <a14:useLocalDpi xmlns:a14="http://schemas.microsoft.com/office/drawing/2010/main" val="0"/>
                        </a:ext>
                      </a:extLst>
                    </a:blip>
                    <a:stretch>
                      <a:fillRect/>
                    </a:stretch>
                  </pic:blipFill>
                  <pic:spPr>
                    <a:xfrm>
                      <a:off x="0" y="0"/>
                      <a:ext cx="5293360" cy="837565"/>
                    </a:xfrm>
                    <a:prstGeom prst="rect">
                      <a:avLst/>
                    </a:prstGeom>
                  </pic:spPr>
                </pic:pic>
              </a:graphicData>
            </a:graphic>
          </wp:inline>
        </w:drawing>
      </w:r>
    </w:p>
    <w:p w:rsidR="00745B5C" w:rsidRPr="0089759B" w:rsidRDefault="00745B5C" w:rsidP="00745B5C">
      <w:pPr>
        <w:spacing w:after="0"/>
        <w:ind w:left="360"/>
        <w:contextualSpacing/>
        <w:rPr>
          <w:rFonts w:ascii="Cambria" w:eastAsia="MS Mincho" w:hAnsi="Cambria"/>
        </w:rPr>
      </w:pPr>
    </w:p>
    <w:p w:rsidR="00745B5C" w:rsidRPr="0089759B" w:rsidRDefault="00745B5C" w:rsidP="00745B5C">
      <w:pPr>
        <w:spacing w:after="0"/>
        <w:ind w:left="360"/>
        <w:contextualSpacing/>
        <w:rPr>
          <w:rFonts w:ascii="Cambria" w:eastAsia="MS Mincho" w:hAnsi="Cambria"/>
        </w:rPr>
      </w:pPr>
    </w:p>
    <w:p w:rsidR="00745B5C" w:rsidRPr="0089759B" w:rsidRDefault="00745B5C" w:rsidP="00745B5C">
      <w:pPr>
        <w:spacing w:after="0"/>
        <w:rPr>
          <w:rFonts w:ascii="Cambria" w:eastAsia="MS Mincho" w:hAnsi="Cambria"/>
          <w:b/>
          <w:sz w:val="28"/>
          <w:szCs w:val="28"/>
        </w:rPr>
      </w:pPr>
      <w:r>
        <w:rPr>
          <w:rFonts w:ascii="Cambria" w:eastAsia="MS Mincho" w:hAnsi="Cambria"/>
          <w:b/>
          <w:sz w:val="28"/>
          <w:szCs w:val="28"/>
        </w:rPr>
        <w:t>INTROD</w:t>
      </w:r>
      <w:r w:rsidRPr="0089759B">
        <w:rPr>
          <w:rFonts w:ascii="Cambria" w:eastAsia="MS Mincho" w:hAnsi="Cambria"/>
          <w:b/>
          <w:sz w:val="28"/>
          <w:szCs w:val="28"/>
        </w:rPr>
        <w:t>UCING KNOW</w:t>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KNOW Guidelines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 xml:space="preserve">What is KNOW... four key insights: </w:t>
      </w:r>
    </w:p>
    <w:p w:rsidR="00745B5C" w:rsidRPr="0089759B" w:rsidRDefault="00745B5C" w:rsidP="00745B5C">
      <w:pPr>
        <w:numPr>
          <w:ilvl w:val="0"/>
          <w:numId w:val="22"/>
        </w:numPr>
        <w:spacing w:after="0"/>
        <w:rPr>
          <w:rFonts w:ascii="Cambria" w:eastAsia="MS Mincho" w:hAnsi="Cambria"/>
        </w:rPr>
      </w:pPr>
      <w:r w:rsidRPr="0089759B">
        <w:rPr>
          <w:rFonts w:ascii="Cambria" w:eastAsia="MS Mincho" w:hAnsi="Cambria"/>
          <w:b/>
          <w:bCs/>
        </w:rPr>
        <w:t>K</w:t>
      </w:r>
      <w:r w:rsidRPr="0089759B">
        <w:rPr>
          <w:rFonts w:ascii="Cambria" w:eastAsia="MS Mincho" w:hAnsi="Cambria"/>
        </w:rPr>
        <w:t>now the power players and their preferences.</w:t>
      </w:r>
      <w:r w:rsidRPr="0089759B">
        <w:rPr>
          <w:rFonts w:ascii="Cambria" w:eastAsia="MS Mincho" w:hAnsi="Cambria"/>
        </w:rPr>
        <w:br/>
        <w:t> </w:t>
      </w:r>
    </w:p>
    <w:p w:rsidR="00745B5C" w:rsidRPr="0089759B" w:rsidRDefault="00745B5C" w:rsidP="00745B5C">
      <w:pPr>
        <w:numPr>
          <w:ilvl w:val="0"/>
          <w:numId w:val="22"/>
        </w:numPr>
        <w:spacing w:after="0"/>
        <w:rPr>
          <w:rFonts w:ascii="Cambria" w:eastAsia="MS Mincho" w:hAnsi="Cambria"/>
        </w:rPr>
      </w:pPr>
      <w:r w:rsidRPr="0089759B">
        <w:rPr>
          <w:rFonts w:ascii="Cambria" w:eastAsia="MS Mincho" w:hAnsi="Cambria"/>
          <w:b/>
          <w:bCs/>
        </w:rPr>
        <w:t>N</w:t>
      </w:r>
      <w:r w:rsidRPr="0089759B">
        <w:rPr>
          <w:rFonts w:ascii="Cambria" w:eastAsia="MS Mincho" w:hAnsi="Cambria"/>
        </w:rPr>
        <w:t>orms and protocols of domestic and international institutions matter.</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2"/>
        </w:numPr>
        <w:spacing w:after="0"/>
        <w:rPr>
          <w:rFonts w:ascii="Cambria" w:eastAsia="MS Mincho" w:hAnsi="Cambria"/>
        </w:rPr>
      </w:pPr>
      <w:r w:rsidRPr="0089759B">
        <w:rPr>
          <w:rFonts w:ascii="Cambria" w:eastAsia="MS Mincho" w:hAnsi="Cambria"/>
          <w:b/>
          <w:bCs/>
        </w:rPr>
        <w:t>O</w:t>
      </w:r>
      <w:r w:rsidRPr="0089759B">
        <w:rPr>
          <w:rFonts w:ascii="Cambria" w:eastAsia="MS Mincho" w:hAnsi="Cambria"/>
        </w:rPr>
        <w:t>ther perspectives (bottom-up eruptions of mass protest, globalization/interconnected-world arguments, efficient-markets thesis and its critics…) should also inform your forecasts.</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2"/>
        </w:numPr>
        <w:spacing w:after="0"/>
        <w:rPr>
          <w:rFonts w:ascii="Cambria" w:eastAsia="MS Mincho" w:hAnsi="Cambria"/>
        </w:rPr>
      </w:pPr>
      <w:r w:rsidRPr="0089759B">
        <w:rPr>
          <w:rFonts w:ascii="Cambria" w:eastAsia="MS Mincho" w:hAnsi="Cambria"/>
          <w:b/>
          <w:bCs/>
        </w:rPr>
        <w:t>W</w:t>
      </w:r>
      <w:r w:rsidRPr="0089759B">
        <w:rPr>
          <w:rFonts w:ascii="Cambria" w:eastAsia="MS Mincho" w:hAnsi="Cambria"/>
        </w:rPr>
        <w:t xml:space="preserve">ildcards, accidents and black swans can catch you off-guard. Beware of irreducible uncertainty. </w:t>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32"/>
          <w:szCs w:val="32"/>
        </w:rPr>
        <w:t>K</w:t>
      </w:r>
      <w:r w:rsidRPr="0089759B">
        <w:rPr>
          <w:rFonts w:ascii="Calibri" w:eastAsia="MS Gothic" w:hAnsi="Calibri"/>
          <w:b/>
          <w:bCs/>
          <w:color w:val="4F81BD"/>
          <w:sz w:val="26"/>
          <w:szCs w:val="26"/>
        </w:rPr>
        <w:t>NOW: Know the Power Players</w:t>
      </w:r>
    </w:p>
    <w:p w:rsidR="00745B5C" w:rsidRPr="0089759B" w:rsidRDefault="00745B5C" w:rsidP="00745B5C">
      <w:pPr>
        <w:spacing w:after="0"/>
        <w:rPr>
          <w:rFonts w:ascii="Cambria" w:eastAsia="MS Mincho" w:hAnsi="Cambria"/>
        </w:rPr>
      </w:pPr>
      <w:r w:rsidRPr="0089759B">
        <w:rPr>
          <w:rFonts w:ascii="Cambria" w:eastAsia="MS Mincho" w:hAnsi="Cambria"/>
        </w:rPr>
        <w:t xml:space="preserve">Here is one way to structure your inside-the-case view analysis: </w:t>
      </w:r>
      <w:r w:rsidRPr="0089759B">
        <w:rPr>
          <w:rFonts w:ascii="Cambria" w:eastAsia="MS Mincho" w:hAnsi="Cambria"/>
          <w:b/>
        </w:rPr>
        <w:t>POM</w:t>
      </w:r>
    </w:p>
    <w:p w:rsidR="00745B5C" w:rsidRPr="0089759B" w:rsidRDefault="00745B5C" w:rsidP="00745B5C">
      <w:pPr>
        <w:spacing w:after="0"/>
        <w:ind w:left="720"/>
        <w:rPr>
          <w:rFonts w:ascii="Cambria" w:eastAsia="MS Mincho" w:hAnsi="Cambria"/>
        </w:rPr>
      </w:pPr>
    </w:p>
    <w:p w:rsidR="00745B5C" w:rsidRPr="0089759B" w:rsidRDefault="00745B5C" w:rsidP="00745B5C">
      <w:pPr>
        <w:numPr>
          <w:ilvl w:val="0"/>
          <w:numId w:val="23"/>
        </w:numPr>
        <w:spacing w:after="0"/>
        <w:contextualSpacing/>
        <w:rPr>
          <w:rFonts w:ascii="Cambria" w:eastAsia="MS Mincho" w:hAnsi="Cambria"/>
        </w:rPr>
      </w:pPr>
      <w:r w:rsidRPr="0089759B">
        <w:rPr>
          <w:rFonts w:ascii="Cambria" w:eastAsia="MS Mincho" w:hAnsi="Cambria"/>
          <w:b/>
        </w:rPr>
        <w:t>Players:</w:t>
      </w:r>
      <w:r w:rsidRPr="0089759B">
        <w:rPr>
          <w:rFonts w:ascii="Cambria" w:eastAsia="MS Mincho" w:hAnsi="Cambria"/>
        </w:rPr>
        <w:t xml:space="preserve"> Identify political players and their relative power.</w:t>
      </w:r>
    </w:p>
    <w:p w:rsidR="00745B5C" w:rsidRPr="0089759B" w:rsidRDefault="00745B5C" w:rsidP="00745B5C">
      <w:pPr>
        <w:spacing w:after="0"/>
        <w:ind w:left="720"/>
        <w:rPr>
          <w:rFonts w:ascii="Cambria" w:eastAsia="MS Mincho" w:hAnsi="Cambria"/>
        </w:rPr>
      </w:pPr>
    </w:p>
    <w:p w:rsidR="00745B5C" w:rsidRPr="0089759B" w:rsidRDefault="00745B5C" w:rsidP="00745B5C">
      <w:pPr>
        <w:numPr>
          <w:ilvl w:val="0"/>
          <w:numId w:val="23"/>
        </w:numPr>
        <w:spacing w:after="0"/>
        <w:contextualSpacing/>
        <w:rPr>
          <w:rFonts w:ascii="Cambria" w:eastAsia="MS Mincho" w:hAnsi="Cambria"/>
        </w:rPr>
      </w:pPr>
      <w:r w:rsidRPr="0089759B">
        <w:rPr>
          <w:rFonts w:ascii="Cambria" w:eastAsia="MS Mincho" w:hAnsi="Cambria"/>
          <w:b/>
        </w:rPr>
        <w:t>Objectives:</w:t>
      </w:r>
      <w:r w:rsidRPr="0089759B">
        <w:rPr>
          <w:rFonts w:ascii="Cambria" w:eastAsia="MS Mincho" w:hAnsi="Cambria"/>
        </w:rPr>
        <w:t xml:space="preserve"> Estimate what each wants on this issue.</w:t>
      </w:r>
    </w:p>
    <w:p w:rsidR="00745B5C" w:rsidRPr="0089759B" w:rsidRDefault="00745B5C" w:rsidP="00745B5C">
      <w:pPr>
        <w:spacing w:after="0"/>
        <w:ind w:left="720"/>
        <w:rPr>
          <w:rFonts w:ascii="Cambria" w:eastAsia="MS Mincho" w:hAnsi="Cambria"/>
        </w:rPr>
      </w:pPr>
    </w:p>
    <w:p w:rsidR="00745B5C" w:rsidRPr="0089759B" w:rsidRDefault="00745B5C" w:rsidP="00745B5C">
      <w:pPr>
        <w:numPr>
          <w:ilvl w:val="0"/>
          <w:numId w:val="23"/>
        </w:numPr>
        <w:spacing w:after="0"/>
        <w:contextualSpacing/>
        <w:rPr>
          <w:rFonts w:ascii="Cambria" w:eastAsia="MS Mincho" w:hAnsi="Cambria"/>
        </w:rPr>
      </w:pPr>
      <w:r w:rsidRPr="0089759B">
        <w:rPr>
          <w:rFonts w:ascii="Cambria" w:eastAsia="MS Mincho" w:hAnsi="Cambria"/>
          <w:b/>
        </w:rPr>
        <w:t>Motivation:</w:t>
      </w:r>
      <w:r w:rsidRPr="0089759B">
        <w:rPr>
          <w:rFonts w:ascii="Cambria" w:eastAsia="MS Mincho" w:hAnsi="Cambria"/>
        </w:rPr>
        <w:t xml:space="preserve"> Estimate how motivated each is to prevail (spend political capital to achieve preferred outcomes).</w:t>
      </w:r>
    </w:p>
    <w:p w:rsidR="00745B5C" w:rsidRPr="0089759B" w:rsidRDefault="00745B5C" w:rsidP="00745B5C">
      <w:pPr>
        <w:spacing w:after="0"/>
        <w:ind w:left="720"/>
        <w:rPr>
          <w:rFonts w:ascii="Cambria" w:eastAsia="MS Mincho" w:hAnsi="Cambria"/>
        </w:rPr>
      </w:pPr>
    </w:p>
    <w:p w:rsidR="00745B5C" w:rsidRPr="0089759B" w:rsidRDefault="00745B5C" w:rsidP="00745B5C">
      <w:pPr>
        <w:spacing w:after="0"/>
        <w:ind w:left="720"/>
        <w:rPr>
          <w:rFonts w:ascii="Cambria" w:eastAsia="MS Mincho" w:hAnsi="Cambria"/>
        </w:rPr>
      </w:pPr>
      <w:r w:rsidRPr="0089759B">
        <w:rPr>
          <w:rFonts w:ascii="Cambria" w:eastAsia="MS Mincho" w:hAnsi="Cambria"/>
        </w:rPr>
        <w:t>Link this inside-view to an outside-view base rate. All else being equal, many experts believe that power players motivated to prevail on an issue will win (outside-view, base-rate prediction)—unless their influence is offset by equally powerful players motivated to oppose them.</w:t>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K</w:t>
      </w:r>
      <w:r w:rsidRPr="0089759B">
        <w:rPr>
          <w:rFonts w:ascii="Calibri" w:eastAsia="MS Gothic" w:hAnsi="Calibri"/>
          <w:b/>
          <w:bCs/>
          <w:color w:val="4F81BD"/>
          <w:sz w:val="32"/>
          <w:szCs w:val="32"/>
        </w:rPr>
        <w:t>N</w:t>
      </w:r>
      <w:r w:rsidRPr="0089759B">
        <w:rPr>
          <w:rFonts w:ascii="Calibri" w:eastAsia="MS Gothic" w:hAnsi="Calibri"/>
          <w:b/>
          <w:bCs/>
          <w:color w:val="4F81BD"/>
          <w:sz w:val="26"/>
          <w:szCs w:val="26"/>
        </w:rPr>
        <w:t>OW: Norms and protocols of domestic and international institutions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One set of qualifiers on the power-politics perspective.  For example:</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4"/>
        </w:numPr>
        <w:spacing w:after="0"/>
        <w:contextualSpacing/>
        <w:rPr>
          <w:rFonts w:ascii="Cambria" w:eastAsia="MS Mincho" w:hAnsi="Cambria"/>
        </w:rPr>
      </w:pPr>
      <w:r w:rsidRPr="0089759B">
        <w:rPr>
          <w:rFonts w:ascii="Cambria" w:eastAsia="MS Mincho" w:hAnsi="Cambria"/>
        </w:rPr>
        <w:t>Understanding institutional ground rules–of courts, parliaments and international organizations–can be crucial to forecasting success.</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4"/>
        </w:numPr>
        <w:spacing w:after="0"/>
        <w:contextualSpacing/>
        <w:rPr>
          <w:rFonts w:ascii="Cambria" w:eastAsia="MS Mincho" w:hAnsi="Cambria"/>
        </w:rPr>
      </w:pPr>
      <w:r w:rsidRPr="0089759B">
        <w:rPr>
          <w:rFonts w:ascii="Cambria" w:eastAsia="MS Mincho" w:hAnsi="Cambria"/>
        </w:rPr>
        <w:t>Such rules can amplify the influence of some power players—and attenuate the influence of others:</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4"/>
        </w:numPr>
        <w:spacing w:after="0"/>
        <w:contextualSpacing/>
        <w:rPr>
          <w:rFonts w:ascii="Cambria" w:eastAsia="MS Mincho" w:hAnsi="Cambria"/>
        </w:rPr>
      </w:pPr>
      <w:r w:rsidRPr="0089759B">
        <w:rPr>
          <w:rFonts w:ascii="Cambria" w:eastAsia="MS Mincho" w:hAnsi="Cambria"/>
          <w:b/>
        </w:rPr>
        <w:t>Power-enhancing rules:</w:t>
      </w:r>
      <w:r w:rsidRPr="0089759B">
        <w:rPr>
          <w:rFonts w:ascii="Cambria" w:eastAsia="MS Mincho" w:hAnsi="Cambria"/>
        </w:rPr>
        <w:t xml:space="preserve"> e.g., the U.N. Security Council veto enhances the power of the five permanent members relative to other nations.</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4"/>
        </w:numPr>
        <w:spacing w:after="0"/>
        <w:contextualSpacing/>
        <w:rPr>
          <w:rFonts w:ascii="Cambria" w:eastAsia="MS Mincho" w:hAnsi="Cambria"/>
        </w:rPr>
      </w:pPr>
      <w:r w:rsidRPr="0089759B">
        <w:rPr>
          <w:rFonts w:ascii="Cambria" w:eastAsia="MS Mincho" w:hAnsi="Cambria"/>
          <w:b/>
        </w:rPr>
        <w:lastRenderedPageBreak/>
        <w:t>Power-diminishing rules:</w:t>
      </w:r>
      <w:r w:rsidRPr="0089759B">
        <w:rPr>
          <w:rFonts w:ascii="Cambria" w:eastAsia="MS Mincho" w:hAnsi="Cambria"/>
        </w:rPr>
        <w:t xml:space="preserve"> e.g., the U.S. Senate filibuster rules diminish the power of the majority power.</w:t>
      </w:r>
    </w:p>
    <w:p w:rsidR="00745B5C" w:rsidRPr="0089759B"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KN</w:t>
      </w:r>
      <w:r w:rsidRPr="0089759B">
        <w:rPr>
          <w:rFonts w:ascii="Calibri" w:eastAsia="MS Gothic" w:hAnsi="Calibri"/>
          <w:b/>
          <w:bCs/>
          <w:color w:val="4F81BD"/>
          <w:sz w:val="32"/>
          <w:szCs w:val="32"/>
        </w:rPr>
        <w:t>O</w:t>
      </w:r>
      <w:r w:rsidRPr="0089759B">
        <w:rPr>
          <w:rFonts w:ascii="Calibri" w:eastAsia="MS Gothic" w:hAnsi="Calibri"/>
          <w:b/>
          <w:bCs/>
          <w:color w:val="4F81BD"/>
          <w:sz w:val="26"/>
          <w:szCs w:val="26"/>
        </w:rPr>
        <w:t>W: Other perspectives, in addition to power politics and institutions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Other perspectives can take diverse forms. For example:</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5"/>
        </w:numPr>
        <w:spacing w:after="0"/>
        <w:contextualSpacing/>
        <w:rPr>
          <w:rFonts w:ascii="Cambria" w:eastAsia="MS Mincho" w:hAnsi="Cambria"/>
        </w:rPr>
      </w:pPr>
      <w:r w:rsidRPr="0089759B">
        <w:rPr>
          <w:rFonts w:ascii="Cambria" w:eastAsia="MS Mincho" w:hAnsi="Cambria"/>
        </w:rPr>
        <w:t>Revolutionary leaders—Gandhi, Khomeini and Mandela—have shown that power does NOT always flow top-down.</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5"/>
        </w:numPr>
        <w:spacing w:after="0"/>
        <w:contextualSpacing/>
        <w:rPr>
          <w:rFonts w:ascii="Cambria" w:eastAsia="MS Mincho" w:hAnsi="Cambria"/>
        </w:rPr>
      </w:pPr>
      <w:r w:rsidRPr="0089759B">
        <w:rPr>
          <w:rFonts w:ascii="Cambria" w:eastAsia="MS Mincho" w:hAnsi="Cambria"/>
        </w:rPr>
        <w:t>Idealists/fanatics sometimes defy power-political logic (although betting on underdogs is risky—especially in short time frames).</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5"/>
        </w:numPr>
        <w:spacing w:after="0"/>
        <w:contextualSpacing/>
        <w:rPr>
          <w:rFonts w:ascii="Cambria" w:eastAsia="MS Mincho" w:hAnsi="Cambria"/>
        </w:rPr>
      </w:pPr>
      <w:r w:rsidRPr="0089759B">
        <w:rPr>
          <w:rFonts w:ascii="Cambria" w:eastAsia="MS Mincho" w:hAnsi="Cambria"/>
        </w:rPr>
        <w:t>Some experts argue that mass mobilization against oppressive regimes has grown easier as the world has grown interconnected.</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5"/>
        </w:numPr>
        <w:spacing w:after="0"/>
        <w:contextualSpacing/>
        <w:rPr>
          <w:rFonts w:ascii="Cambria" w:eastAsia="MS Mincho" w:hAnsi="Cambria"/>
        </w:rPr>
      </w:pPr>
      <w:r w:rsidRPr="0089759B">
        <w:rPr>
          <w:rFonts w:ascii="Cambria" w:eastAsia="MS Mincho" w:hAnsi="Cambria"/>
        </w:rPr>
        <w:t>And other experts argue that the global markets for capital and labor are increasingly efficient, making it harder for isolated regimes to survive.</w:t>
      </w:r>
    </w:p>
    <w:p w:rsidR="00745B5C" w:rsidRPr="0089759B" w:rsidRDefault="00745B5C" w:rsidP="00745B5C">
      <w:pPr>
        <w:spacing w:after="0"/>
        <w:ind w:left="72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noProof/>
        </w:rPr>
        <w:drawing>
          <wp:inline distT="0" distB="0" distL="0" distR="0" wp14:anchorId="764B8166" wp14:editId="49B026B5">
            <wp:extent cx="5750560" cy="9753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p2.PNG"/>
                    <pic:cNvPicPr/>
                  </pic:nvPicPr>
                  <pic:blipFill>
                    <a:blip r:embed="rId16">
                      <a:extLst>
                        <a:ext uri="{28A0092B-C50C-407E-A947-70E740481C1C}">
                          <a14:useLocalDpi xmlns:a14="http://schemas.microsoft.com/office/drawing/2010/main" val="0"/>
                        </a:ext>
                      </a:extLst>
                    </a:blip>
                    <a:stretch>
                      <a:fillRect/>
                    </a:stretch>
                  </pic:blipFill>
                  <pic:spPr>
                    <a:xfrm>
                      <a:off x="0" y="0"/>
                      <a:ext cx="5750560" cy="975360"/>
                    </a:xfrm>
                    <a:prstGeom prst="rect">
                      <a:avLst/>
                    </a:prstGeom>
                  </pic:spPr>
                </pic:pic>
              </a:graphicData>
            </a:graphic>
          </wp:inline>
        </w:drawing>
      </w:r>
    </w:p>
    <w:p w:rsidR="00745B5C" w:rsidRDefault="00745B5C" w:rsidP="00745B5C">
      <w:pPr>
        <w:spacing w:after="0"/>
        <w:rPr>
          <w:rFonts w:ascii="Cambria" w:eastAsia="MS Mincho" w:hAnsi="Cambria"/>
        </w:rPr>
      </w:pPr>
    </w:p>
    <w:p w:rsidR="00745B5C" w:rsidRDefault="00745B5C" w:rsidP="00745B5C">
      <w:pPr>
        <w:spacing w:after="0"/>
        <w:rPr>
          <w:rFonts w:ascii="Cambria" w:eastAsia="MS Mincho" w:hAnsi="Cambria"/>
        </w:rPr>
      </w:pPr>
    </w:p>
    <w:p w:rsidR="00745B5C" w:rsidRPr="0089759B" w:rsidRDefault="00745B5C" w:rsidP="00745B5C">
      <w:pPr>
        <w:rPr>
          <w:rFonts w:ascii="Calibri" w:eastAsia="MS Gothic" w:hAnsi="Calibri"/>
          <w:b/>
          <w:bCs/>
          <w:color w:val="4F81BD"/>
          <w:sz w:val="26"/>
          <w:szCs w:val="26"/>
        </w:rPr>
      </w:pPr>
      <w:r w:rsidRPr="0089759B">
        <w:rPr>
          <w:rFonts w:ascii="Calibri" w:eastAsia="MS Gothic" w:hAnsi="Calibri"/>
          <w:b/>
          <w:bCs/>
          <w:color w:val="4F81BD"/>
          <w:sz w:val="26"/>
          <w:szCs w:val="26"/>
        </w:rPr>
        <w:t>KNO</w:t>
      </w:r>
      <w:r w:rsidRPr="0089759B">
        <w:rPr>
          <w:rFonts w:ascii="Calibri" w:eastAsia="MS Gothic" w:hAnsi="Calibri"/>
          <w:b/>
          <w:bCs/>
          <w:color w:val="4F81BD"/>
          <w:sz w:val="32"/>
          <w:szCs w:val="32"/>
        </w:rPr>
        <w:t>W</w:t>
      </w:r>
      <w:r w:rsidRPr="0089759B">
        <w:rPr>
          <w:rFonts w:ascii="Calibri" w:eastAsia="MS Gothic" w:hAnsi="Calibri"/>
          <w:b/>
          <w:bCs/>
          <w:color w:val="4F81BD"/>
          <w:sz w:val="26"/>
          <w:szCs w:val="26"/>
        </w:rPr>
        <w:t>: Wildcards, accidents and black swans</w:t>
      </w:r>
    </w:p>
    <w:p w:rsidR="00745B5C" w:rsidRDefault="00745B5C" w:rsidP="00745B5C">
      <w:pPr>
        <w:keepNext/>
        <w:keepLines/>
        <w:numPr>
          <w:ilvl w:val="2"/>
          <w:numId w:val="0"/>
        </w:numPr>
        <w:spacing w:before="200" w:after="0"/>
        <w:ind w:left="720" w:hanging="720"/>
        <w:outlineLvl w:val="2"/>
        <w:rPr>
          <w:rFonts w:ascii="Calibri" w:eastAsia="MS Gothic" w:hAnsi="Calibri"/>
          <w:b/>
          <w:bCs/>
          <w:i/>
          <w:color w:val="4F81BD"/>
        </w:rPr>
      </w:pPr>
      <w:r w:rsidRPr="0089759B">
        <w:rPr>
          <w:rFonts w:ascii="Calibri" w:eastAsia="MS Gothic" w:hAnsi="Calibri"/>
          <w:b/>
          <w:bCs/>
          <w:i/>
          <w:color w:val="4F81BD"/>
        </w:rPr>
        <w:t>Black Swans?</w:t>
      </w:r>
    </w:p>
    <w:p w:rsidR="00745B5C" w:rsidRDefault="00745B5C" w:rsidP="00745B5C">
      <w:pPr>
        <w:keepNext/>
        <w:keepLines/>
        <w:numPr>
          <w:ilvl w:val="2"/>
          <w:numId w:val="0"/>
        </w:numPr>
        <w:spacing w:before="200" w:after="0"/>
        <w:ind w:left="720" w:hanging="720"/>
        <w:outlineLvl w:val="2"/>
        <w:rPr>
          <w:rFonts w:ascii="Calibri" w:eastAsia="MS Gothic" w:hAnsi="Calibri"/>
          <w:b/>
          <w:bCs/>
          <w:i/>
          <w:color w:val="4F81BD"/>
        </w:rPr>
      </w:pPr>
    </w:p>
    <w:p w:rsidR="00745B5C" w:rsidRDefault="00745B5C" w:rsidP="00745B5C">
      <w:pPr>
        <w:spacing w:after="0"/>
        <w:rPr>
          <w:rFonts w:ascii="Cambria" w:eastAsia="MS Mincho" w:hAnsi="Cambria"/>
          <w:bCs/>
        </w:rPr>
      </w:pPr>
      <w:r w:rsidRPr="00ED0B94">
        <w:rPr>
          <w:rFonts w:ascii="Cambria" w:eastAsia="MS Mincho" w:hAnsi="Cambria"/>
          <w:bCs/>
        </w:rPr>
        <w:t>“A black swan is an extreme-impact and extreme-outlier event that virtually no one expected but that, after the fact, many see as inevitable (hindsight bias)”</w:t>
      </w:r>
    </w:p>
    <w:p w:rsidR="00745B5C" w:rsidRDefault="00745B5C" w:rsidP="00745B5C">
      <w:pPr>
        <w:spacing w:after="0"/>
        <w:jc w:val="right"/>
        <w:rPr>
          <w:rFonts w:ascii="Cambria" w:eastAsia="MS Mincho" w:hAnsi="Cambria"/>
          <w:bCs/>
        </w:rPr>
      </w:pPr>
      <w:r>
        <w:rPr>
          <w:rFonts w:ascii="Cambria" w:eastAsia="MS Mincho" w:hAnsi="Cambria"/>
          <w:bCs/>
        </w:rPr>
        <w:t>~Nassim Taleb,</w:t>
      </w:r>
    </w:p>
    <w:p w:rsidR="00745B5C" w:rsidRPr="00ED0B94" w:rsidRDefault="00745B5C" w:rsidP="00745B5C">
      <w:pPr>
        <w:spacing w:after="0"/>
        <w:jc w:val="right"/>
        <w:rPr>
          <w:rFonts w:ascii="Cambria" w:eastAsia="MS Mincho" w:hAnsi="Cambria"/>
          <w:bCs/>
        </w:rPr>
      </w:pPr>
      <w:r>
        <w:rPr>
          <w:rFonts w:ascii="Cambria" w:eastAsia="MS Mincho" w:hAnsi="Cambria"/>
          <w:bCs/>
        </w:rPr>
        <w:t>An advisor to the Good Judgment Project</w:t>
      </w:r>
    </w:p>
    <w:p w:rsidR="00745B5C" w:rsidRPr="0089759B" w:rsidRDefault="00745B5C" w:rsidP="00745B5C">
      <w:pPr>
        <w:spacing w:after="0"/>
        <w:rPr>
          <w:rFonts w:ascii="Cambria" w:eastAsia="MS Mincho" w:hAnsi="Cambria"/>
        </w:rPr>
      </w:pPr>
    </w:p>
    <w:p w:rsidR="00745B5C" w:rsidRPr="0089759B" w:rsidRDefault="00745B5C" w:rsidP="00745B5C">
      <w:pPr>
        <w:keepNext/>
        <w:keepLines/>
        <w:numPr>
          <w:ilvl w:val="1"/>
          <w:numId w:val="0"/>
        </w:numPr>
        <w:spacing w:before="200" w:after="0"/>
        <w:outlineLvl w:val="1"/>
        <w:rPr>
          <w:rFonts w:ascii="Calibri" w:eastAsia="MS Gothic" w:hAnsi="Calibri"/>
          <w:b/>
          <w:bCs/>
          <w:color w:val="4F81BD"/>
          <w:sz w:val="26"/>
          <w:szCs w:val="26"/>
        </w:rPr>
      </w:pPr>
      <w:r w:rsidRPr="0089759B">
        <w:rPr>
          <w:rFonts w:ascii="Calibri" w:eastAsia="MS Gothic" w:hAnsi="Calibri"/>
          <w:b/>
          <w:bCs/>
          <w:color w:val="4F81BD"/>
          <w:sz w:val="26"/>
          <w:szCs w:val="26"/>
        </w:rPr>
        <w:t>KNO</w:t>
      </w:r>
      <w:r w:rsidRPr="0089759B">
        <w:rPr>
          <w:rFonts w:ascii="Calibri" w:eastAsia="MS Gothic" w:hAnsi="Calibri"/>
          <w:b/>
          <w:bCs/>
          <w:color w:val="4F81BD"/>
          <w:sz w:val="32"/>
          <w:szCs w:val="32"/>
        </w:rPr>
        <w:t>W</w:t>
      </w:r>
      <w:r w:rsidRPr="0089759B">
        <w:rPr>
          <w:rFonts w:ascii="Calibri" w:eastAsia="MS Gothic" w:hAnsi="Calibri"/>
          <w:b/>
          <w:bCs/>
          <w:color w:val="4F81BD"/>
          <w:sz w:val="26"/>
          <w:szCs w:val="26"/>
        </w:rPr>
        <w:t>: Wildcards, accidents and black swans</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rPr>
        <w:t>Even when you are right about the power-politics and the institutional ground rules, you can get it wrong because…</w:t>
      </w:r>
    </w:p>
    <w:p w:rsidR="00745B5C" w:rsidRPr="0089759B" w:rsidRDefault="00745B5C" w:rsidP="00745B5C">
      <w:pPr>
        <w:spacing w:after="0"/>
        <w:rPr>
          <w:rFonts w:ascii="Cambria" w:eastAsia="MS Mincho" w:hAnsi="Cambria"/>
        </w:rPr>
      </w:pPr>
    </w:p>
    <w:p w:rsidR="00745B5C" w:rsidRPr="0089759B" w:rsidRDefault="00745B5C" w:rsidP="00745B5C">
      <w:pPr>
        <w:numPr>
          <w:ilvl w:val="0"/>
          <w:numId w:val="26"/>
        </w:numPr>
        <w:spacing w:after="0"/>
        <w:contextualSpacing/>
        <w:rPr>
          <w:rFonts w:ascii="Cambria" w:eastAsia="MS Mincho" w:hAnsi="Cambria"/>
        </w:rPr>
      </w:pPr>
      <w:r w:rsidRPr="0089759B">
        <w:rPr>
          <w:rFonts w:ascii="Cambria" w:eastAsia="MS Mincho" w:hAnsi="Cambria"/>
        </w:rPr>
        <w:t>Low-level actors can move events against the wishes of those formally in charge (e.g., fishing boat captains in East China Sea).</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6"/>
        </w:numPr>
        <w:spacing w:after="0"/>
        <w:contextualSpacing/>
        <w:rPr>
          <w:rFonts w:ascii="Cambria" w:eastAsia="MS Mincho" w:hAnsi="Cambria"/>
        </w:rPr>
      </w:pPr>
      <w:r w:rsidRPr="0089759B">
        <w:rPr>
          <w:rFonts w:ascii="Cambria" w:eastAsia="MS Mincho" w:hAnsi="Cambria"/>
        </w:rPr>
        <w:lastRenderedPageBreak/>
        <w:t>Accidents and disasters happen: bombs hit unintended targets, tsunamis s</w:t>
      </w:r>
      <w:r>
        <w:rPr>
          <w:rFonts w:ascii="Cambria" w:eastAsia="MS Mincho" w:hAnsi="Cambria"/>
        </w:rPr>
        <w:t>tun economies and suspend wars.</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6"/>
        </w:numPr>
        <w:spacing w:after="0"/>
        <w:contextualSpacing/>
        <w:rPr>
          <w:rFonts w:ascii="Cambria" w:eastAsia="MS Mincho" w:hAnsi="Cambria"/>
        </w:rPr>
      </w:pPr>
      <w:r w:rsidRPr="0089759B">
        <w:rPr>
          <w:rFonts w:ascii="Cambria" w:eastAsia="MS Mincho" w:hAnsi="Cambria"/>
        </w:rPr>
        <w:t>Unknown unknowns can cause rare but important events.</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6"/>
        </w:numPr>
        <w:spacing w:after="0"/>
        <w:contextualSpacing/>
        <w:rPr>
          <w:rFonts w:ascii="Cambria" w:eastAsia="MS Mincho" w:hAnsi="Cambria"/>
        </w:rPr>
      </w:pPr>
      <w:r w:rsidRPr="0089759B">
        <w:rPr>
          <w:rFonts w:ascii="Cambria" w:eastAsia="MS Mincho" w:hAnsi="Cambria"/>
        </w:rPr>
        <w:t>All questions can be affected by fluky forces, but some are more vulnerable to others.</w:t>
      </w:r>
    </w:p>
    <w:p w:rsidR="00745B5C" w:rsidRPr="0089759B" w:rsidRDefault="00745B5C" w:rsidP="00745B5C">
      <w:pPr>
        <w:spacing w:after="0"/>
        <w:ind w:firstLine="270"/>
        <w:rPr>
          <w:rFonts w:ascii="Cambria" w:eastAsia="MS Mincho" w:hAnsi="Cambria"/>
        </w:rPr>
      </w:pPr>
    </w:p>
    <w:p w:rsidR="00745B5C" w:rsidRPr="0089759B" w:rsidRDefault="00745B5C" w:rsidP="00745B5C">
      <w:pPr>
        <w:numPr>
          <w:ilvl w:val="0"/>
          <w:numId w:val="26"/>
        </w:numPr>
        <w:spacing w:after="0"/>
        <w:contextualSpacing/>
        <w:rPr>
          <w:rFonts w:ascii="Cambria" w:eastAsia="MS Mincho" w:hAnsi="Cambria"/>
        </w:rPr>
      </w:pPr>
      <w:r w:rsidRPr="0089759B">
        <w:rPr>
          <w:rFonts w:ascii="Cambria" w:eastAsia="MS Mincho" w:hAnsi="Cambria"/>
        </w:rPr>
        <w:t>Questions that may pivot on small-scale interactions outside the direct control of power players tend to be higher in irreducible uncertainty. So too are questions that pivot on potentially volatile financial markets.</w:t>
      </w:r>
    </w:p>
    <w:p w:rsidR="00745B5C" w:rsidRPr="0089759B" w:rsidRDefault="00745B5C" w:rsidP="00745B5C">
      <w:pPr>
        <w:spacing w:after="0"/>
        <w:ind w:left="720"/>
        <w:contextualSpacing/>
        <w:rPr>
          <w:rFonts w:ascii="Cambria" w:eastAsia="MS Mincho" w:hAnsi="Cambria"/>
        </w:rPr>
      </w:pPr>
    </w:p>
    <w:p w:rsidR="00745B5C" w:rsidRPr="00ED0B94"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CHAMS KNOW Summary</w:t>
      </w:r>
    </w:p>
    <w:p w:rsidR="00745B5C" w:rsidRPr="0089759B" w:rsidRDefault="00745B5C" w:rsidP="00745B5C">
      <w:pPr>
        <w:spacing w:after="0"/>
        <w:jc w:val="center"/>
        <w:rPr>
          <w:rFonts w:ascii="Cambria" w:eastAsia="MS Mincho" w:hAnsi="Cambria"/>
        </w:rPr>
      </w:pPr>
      <w:r w:rsidRPr="0089759B">
        <w:rPr>
          <w:rFonts w:ascii="Cambria" w:eastAsia="MS Mincho" w:hAnsi="Cambria"/>
        </w:rPr>
        <w:t xml:space="preserve">We have given you a quick overview of the principles embodied in </w:t>
      </w:r>
    </w:p>
    <w:p w:rsidR="00745B5C" w:rsidRPr="0089759B" w:rsidRDefault="00745B5C" w:rsidP="00745B5C">
      <w:pPr>
        <w:spacing w:after="0"/>
        <w:jc w:val="center"/>
        <w:rPr>
          <w:rFonts w:ascii="Cambria" w:eastAsia="MS Mincho" w:hAnsi="Cambria"/>
        </w:rPr>
      </w:pPr>
      <w:r>
        <w:rPr>
          <w:rFonts w:ascii="Cambria" w:eastAsia="MS Mincho" w:hAnsi="Cambria"/>
        </w:rPr>
        <w:t>CHAMPS and KNOW</w:t>
      </w:r>
    </w:p>
    <w:p w:rsidR="00745B5C" w:rsidRPr="0089759B" w:rsidRDefault="00745B5C" w:rsidP="00745B5C">
      <w:pPr>
        <w:spacing w:after="0"/>
        <w:rPr>
          <w:rFonts w:ascii="Cambria" w:eastAsia="MS Mincho" w:hAnsi="Cambria"/>
        </w:rPr>
      </w:pPr>
    </w:p>
    <w:p w:rsidR="00745B5C" w:rsidRPr="0089759B" w:rsidRDefault="00745B5C" w:rsidP="00745B5C">
      <w:pPr>
        <w:spacing w:after="0"/>
        <w:rPr>
          <w:rFonts w:ascii="Cambria" w:eastAsia="MS Mincho" w:hAnsi="Cambria"/>
        </w:rPr>
      </w:pPr>
      <w:r w:rsidRPr="0089759B">
        <w:rPr>
          <w:rFonts w:ascii="Cambria" w:eastAsia="MS Mincho" w:hAnsi="Cambria"/>
          <w:noProof/>
        </w:rPr>
        <w:drawing>
          <wp:inline distT="0" distB="0" distL="0" distR="0" wp14:anchorId="05C9C2F4" wp14:editId="2848ABE9">
            <wp:extent cx="4572000" cy="202778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mps-know.PNG"/>
                    <pic:cNvPicPr/>
                  </pic:nvPicPr>
                  <pic:blipFill>
                    <a:blip r:embed="rId17">
                      <a:extLst>
                        <a:ext uri="{28A0092B-C50C-407E-A947-70E740481C1C}">
                          <a14:useLocalDpi xmlns:a14="http://schemas.microsoft.com/office/drawing/2010/main" val="0"/>
                        </a:ext>
                      </a:extLst>
                    </a:blip>
                    <a:stretch>
                      <a:fillRect/>
                    </a:stretch>
                  </pic:blipFill>
                  <pic:spPr>
                    <a:xfrm>
                      <a:off x="0" y="0"/>
                      <a:ext cx="4572869" cy="2028174"/>
                    </a:xfrm>
                    <a:prstGeom prst="rect">
                      <a:avLst/>
                    </a:prstGeom>
                  </pic:spPr>
                </pic:pic>
              </a:graphicData>
            </a:graphic>
          </wp:inline>
        </w:drawing>
      </w:r>
    </w:p>
    <w:p w:rsidR="00745B5C" w:rsidRPr="0089759B" w:rsidRDefault="00745B5C" w:rsidP="00745B5C">
      <w:pPr>
        <w:spacing w:after="0"/>
        <w:rPr>
          <w:rFonts w:ascii="Cambria" w:eastAsia="MS Mincho" w:hAnsi="Cambria"/>
        </w:rPr>
      </w:pPr>
    </w:p>
    <w:p w:rsidR="00745B5C" w:rsidRPr="00ED0B94" w:rsidRDefault="00745B5C" w:rsidP="00745B5C">
      <w:pPr>
        <w:keepNext/>
        <w:keepLines/>
        <w:numPr>
          <w:ilvl w:val="1"/>
          <w:numId w:val="0"/>
        </w:numPr>
        <w:spacing w:before="200" w:after="0"/>
        <w:ind w:left="576" w:hanging="576"/>
        <w:outlineLvl w:val="1"/>
        <w:rPr>
          <w:rFonts w:ascii="Calibri" w:eastAsia="MS Gothic" w:hAnsi="Calibri"/>
          <w:b/>
          <w:bCs/>
          <w:color w:val="4F81BD"/>
          <w:sz w:val="26"/>
          <w:szCs w:val="26"/>
        </w:rPr>
      </w:pPr>
      <w:r w:rsidRPr="0089759B">
        <w:rPr>
          <w:rFonts w:ascii="Calibri" w:eastAsia="MS Gothic" w:hAnsi="Calibri"/>
          <w:b/>
          <w:bCs/>
          <w:color w:val="4F81BD"/>
          <w:sz w:val="26"/>
          <w:szCs w:val="26"/>
        </w:rPr>
        <w:t>Quick Reference</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C</w:t>
      </w:r>
      <w:r w:rsidRPr="0089759B">
        <w:rPr>
          <w:rFonts w:ascii="Cambria" w:eastAsia="MS Mincho" w:hAnsi="Cambria"/>
        </w:rPr>
        <w:t>omparison classes should inform your probability estimates.</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H</w:t>
      </w:r>
      <w:r w:rsidRPr="0089759B">
        <w:rPr>
          <w:rFonts w:ascii="Cambria" w:eastAsia="MS Mincho" w:hAnsi="Cambria"/>
        </w:rPr>
        <w:t>unt for the right information.</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A</w:t>
      </w:r>
      <w:r w:rsidRPr="0089759B">
        <w:rPr>
          <w:rFonts w:ascii="Cambria" w:eastAsia="MS Mincho" w:hAnsi="Cambria"/>
        </w:rPr>
        <w:t>djust and update your forecasts when appropriate.</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M</w:t>
      </w:r>
      <w:r w:rsidRPr="0089759B">
        <w:rPr>
          <w:rFonts w:ascii="Cambria" w:eastAsia="MS Mincho" w:hAnsi="Cambria"/>
        </w:rPr>
        <w:t xml:space="preserve">athematical </w:t>
      </w:r>
      <w:r>
        <w:rPr>
          <w:rFonts w:ascii="Cambria" w:eastAsia="MS Mincho" w:hAnsi="Cambria"/>
        </w:rPr>
        <w:t>and statistical models can help</w:t>
      </w:r>
      <w:r w:rsidRPr="0089759B">
        <w:rPr>
          <w:rFonts w:ascii="Cambria" w:eastAsia="MS Mincho" w:hAnsi="Cambria"/>
        </w:rPr>
        <w:t>.</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P</w:t>
      </w:r>
      <w:r w:rsidRPr="0089759B">
        <w:rPr>
          <w:rFonts w:ascii="Cambria" w:eastAsia="MS Mincho" w:hAnsi="Cambria"/>
        </w:rPr>
        <w:t>ost-mortem analyses help you improve.</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S</w:t>
      </w:r>
      <w:r w:rsidRPr="0089759B">
        <w:rPr>
          <w:rFonts w:ascii="Cambria" w:eastAsia="MS Mincho" w:hAnsi="Cambria"/>
        </w:rPr>
        <w:t>elect the right questions to answer.</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K</w:t>
      </w:r>
      <w:r w:rsidRPr="0089759B">
        <w:rPr>
          <w:rFonts w:ascii="Cambria" w:eastAsia="MS Mincho" w:hAnsi="Cambria"/>
        </w:rPr>
        <w:t>now the power players.</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N</w:t>
      </w:r>
      <w:r w:rsidRPr="0089759B">
        <w:rPr>
          <w:rFonts w:ascii="Cambria" w:eastAsia="MS Mincho" w:hAnsi="Cambria"/>
        </w:rPr>
        <w:t>orms and protocols of domestic and international institutions matter.</w:t>
      </w:r>
    </w:p>
    <w:p w:rsidR="00745B5C" w:rsidRPr="0089759B" w:rsidRDefault="00745B5C" w:rsidP="00745B5C">
      <w:pPr>
        <w:spacing w:after="0"/>
        <w:rPr>
          <w:rFonts w:ascii="Cambria" w:eastAsia="MS Mincho" w:hAnsi="Cambria"/>
        </w:rPr>
      </w:pPr>
      <w:r w:rsidRPr="0089759B">
        <w:rPr>
          <w:rFonts w:ascii="Cambria" w:eastAsia="MS Mincho" w:hAnsi="Cambria"/>
          <w:b/>
          <w:sz w:val="32"/>
          <w:szCs w:val="32"/>
        </w:rPr>
        <w:t>O</w:t>
      </w:r>
      <w:r w:rsidRPr="0089759B">
        <w:rPr>
          <w:rFonts w:ascii="Cambria" w:eastAsia="MS Mincho" w:hAnsi="Cambria"/>
        </w:rPr>
        <w:t>ther perspectives aside from power politics can also inform your forecasts.</w:t>
      </w:r>
    </w:p>
    <w:p w:rsidR="00745B5C" w:rsidRDefault="00745B5C" w:rsidP="00745B5C">
      <w:pPr>
        <w:spacing w:after="0"/>
        <w:rPr>
          <w:rFonts w:ascii="Cambria" w:eastAsia="MS Mincho" w:hAnsi="Cambria"/>
        </w:rPr>
      </w:pPr>
      <w:r w:rsidRPr="0089759B">
        <w:rPr>
          <w:rFonts w:ascii="Cambria" w:eastAsia="MS Mincho" w:hAnsi="Cambria"/>
          <w:b/>
          <w:sz w:val="32"/>
          <w:szCs w:val="32"/>
        </w:rPr>
        <w:t>W</w:t>
      </w:r>
      <w:r w:rsidRPr="0089759B">
        <w:rPr>
          <w:rFonts w:ascii="Cambria" w:eastAsia="MS Mincho" w:hAnsi="Cambria"/>
        </w:rPr>
        <w:t>ildcards, accidents and black swans can catch you off-guard if you don’t consider the risk of irreducible uncertainty.</w:t>
      </w:r>
    </w:p>
    <w:p w:rsidR="00745B5C" w:rsidRDefault="00745B5C" w:rsidP="00745B5C">
      <w:pPr>
        <w:spacing w:line="360" w:lineRule="auto"/>
        <w:rPr>
          <w:rFonts w:eastAsia="MS Mincho"/>
          <w:u w:val="single"/>
        </w:rPr>
      </w:pPr>
      <w:r>
        <w:rPr>
          <w:rFonts w:ascii="Cambria" w:eastAsia="MS Mincho" w:hAnsi="Cambria"/>
        </w:rPr>
        <w:br w:type="page"/>
      </w:r>
      <w:r w:rsidRPr="008A72CF">
        <w:rPr>
          <w:rFonts w:eastAsia="MS Mincho"/>
          <w:u w:val="single"/>
        </w:rPr>
        <w:lastRenderedPageBreak/>
        <w:t>VI. Descriptive statistics for individual attributes</w:t>
      </w:r>
    </w:p>
    <w:p w:rsidR="00745B5C" w:rsidRDefault="00745B5C" w:rsidP="00745B5C">
      <w:pPr>
        <w:spacing w:line="360" w:lineRule="auto"/>
        <w:rPr>
          <w:rFonts w:eastAsia="MS Mincho"/>
        </w:rPr>
      </w:pPr>
      <w:r>
        <w:rPr>
          <w:rFonts w:eastAsia="MS Mincho"/>
        </w:rPr>
        <w:t>Table A-3 summarizes all variables used to examine variations in individual-level returns to precision in the penultimate section of the paper.</w:t>
      </w:r>
    </w:p>
    <w:p w:rsidR="00745B5C" w:rsidRDefault="00745B5C" w:rsidP="00745B5C">
      <w:pPr>
        <w:rPr>
          <w:rFonts w:eastAsia="MS Mincho"/>
          <w:u w:val="single"/>
        </w:rPr>
      </w:pPr>
    </w:p>
    <w:p w:rsidR="00745B5C" w:rsidRPr="00F64276" w:rsidRDefault="00745B5C" w:rsidP="00745B5C">
      <w:pPr>
        <w:contextualSpacing/>
        <w:jc w:val="both"/>
        <w:rPr>
          <w:rFonts w:eastAsiaTheme="minorEastAsia"/>
          <w:b/>
        </w:rPr>
      </w:pPr>
      <w:r>
        <w:rPr>
          <w:rFonts w:eastAsiaTheme="minorEastAsia"/>
          <w:b/>
        </w:rPr>
        <w:t>Table A-3</w:t>
      </w:r>
      <w:r w:rsidRPr="00F64276">
        <w:rPr>
          <w:rFonts w:eastAsiaTheme="minorEastAsia"/>
          <w:b/>
        </w:rPr>
        <w:t>. Summary Statistics for Individual-Level 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863"/>
        <w:gridCol w:w="916"/>
        <w:gridCol w:w="916"/>
        <w:gridCol w:w="916"/>
        <w:gridCol w:w="916"/>
      </w:tblGrid>
      <w:tr w:rsidR="00745B5C" w:rsidRPr="00F64276" w:rsidTr="00452631">
        <w:tc>
          <w:tcPr>
            <w:tcW w:w="4137" w:type="dxa"/>
            <w:tcBorders>
              <w:top w:val="single" w:sz="4" w:space="0" w:color="auto"/>
              <w:bottom w:val="single" w:sz="4" w:space="0" w:color="auto"/>
            </w:tcBorders>
          </w:tcPr>
          <w:p w:rsidR="00745B5C" w:rsidRPr="00F64276" w:rsidRDefault="00745B5C" w:rsidP="00452631">
            <w:pPr>
              <w:contextualSpacing/>
              <w:jc w:val="both"/>
              <w:rPr>
                <w:rFonts w:eastAsiaTheme="minorEastAsia"/>
              </w:rPr>
            </w:pPr>
          </w:p>
        </w:tc>
        <w:tc>
          <w:tcPr>
            <w:tcW w:w="863" w:type="dxa"/>
            <w:tcBorders>
              <w:top w:val="single" w:sz="4" w:space="0" w:color="auto"/>
              <w:bottom w:val="single" w:sz="4" w:space="0" w:color="auto"/>
            </w:tcBorders>
            <w:vAlign w:val="center"/>
          </w:tcPr>
          <w:p w:rsidR="00745B5C" w:rsidRPr="00F64276" w:rsidRDefault="00745B5C" w:rsidP="00452631">
            <w:pPr>
              <w:contextualSpacing/>
              <w:jc w:val="both"/>
              <w:rPr>
                <w:rFonts w:eastAsiaTheme="minorEastAsia"/>
                <w:i/>
              </w:rPr>
            </w:pPr>
            <w:r w:rsidRPr="00F64276">
              <w:rPr>
                <w:rFonts w:eastAsiaTheme="minorEastAsia"/>
                <w:i/>
              </w:rPr>
              <w:t>N</w:t>
            </w:r>
          </w:p>
        </w:tc>
        <w:tc>
          <w:tcPr>
            <w:tcW w:w="876" w:type="dxa"/>
            <w:tcBorders>
              <w:top w:val="single" w:sz="4" w:space="0" w:color="auto"/>
              <w:bottom w:val="single" w:sz="4" w:space="0" w:color="auto"/>
            </w:tcBorders>
            <w:vAlign w:val="center"/>
          </w:tcPr>
          <w:p w:rsidR="00745B5C" w:rsidRPr="00F64276" w:rsidRDefault="00745B5C" w:rsidP="00452631">
            <w:pPr>
              <w:contextualSpacing/>
              <w:jc w:val="both"/>
              <w:rPr>
                <w:rFonts w:eastAsiaTheme="minorEastAsia"/>
                <w:i/>
              </w:rPr>
            </w:pPr>
            <w:r w:rsidRPr="00F64276">
              <w:rPr>
                <w:rFonts w:eastAsiaTheme="minorEastAsia"/>
                <w:i/>
              </w:rPr>
              <w:t>Mean</w:t>
            </w:r>
          </w:p>
        </w:tc>
        <w:tc>
          <w:tcPr>
            <w:tcW w:w="876" w:type="dxa"/>
            <w:tcBorders>
              <w:top w:val="single" w:sz="4" w:space="0" w:color="auto"/>
              <w:bottom w:val="single" w:sz="4" w:space="0" w:color="auto"/>
            </w:tcBorders>
            <w:vAlign w:val="center"/>
          </w:tcPr>
          <w:p w:rsidR="00745B5C" w:rsidRPr="00F64276" w:rsidRDefault="00745B5C" w:rsidP="00452631">
            <w:pPr>
              <w:contextualSpacing/>
              <w:jc w:val="both"/>
              <w:rPr>
                <w:rFonts w:eastAsiaTheme="minorEastAsia"/>
                <w:i/>
              </w:rPr>
            </w:pPr>
            <w:r w:rsidRPr="00F64276">
              <w:rPr>
                <w:rFonts w:eastAsiaTheme="minorEastAsia"/>
                <w:i/>
              </w:rPr>
              <w:t>Std. dev.</w:t>
            </w:r>
          </w:p>
        </w:tc>
        <w:tc>
          <w:tcPr>
            <w:tcW w:w="911" w:type="dxa"/>
            <w:tcBorders>
              <w:top w:val="single" w:sz="4" w:space="0" w:color="auto"/>
              <w:bottom w:val="single" w:sz="4" w:space="0" w:color="auto"/>
            </w:tcBorders>
            <w:vAlign w:val="center"/>
          </w:tcPr>
          <w:p w:rsidR="00745B5C" w:rsidRPr="00F64276" w:rsidRDefault="00745B5C" w:rsidP="00452631">
            <w:pPr>
              <w:contextualSpacing/>
              <w:jc w:val="both"/>
              <w:rPr>
                <w:rFonts w:eastAsiaTheme="minorEastAsia"/>
                <w:i/>
              </w:rPr>
            </w:pPr>
            <w:r w:rsidRPr="00F64276">
              <w:rPr>
                <w:rFonts w:eastAsiaTheme="minorEastAsia"/>
                <w:i/>
              </w:rPr>
              <w:t>Min</w:t>
            </w:r>
          </w:p>
        </w:tc>
        <w:tc>
          <w:tcPr>
            <w:tcW w:w="887" w:type="dxa"/>
            <w:tcBorders>
              <w:top w:val="single" w:sz="4" w:space="0" w:color="auto"/>
              <w:bottom w:val="single" w:sz="4" w:space="0" w:color="auto"/>
            </w:tcBorders>
            <w:vAlign w:val="center"/>
          </w:tcPr>
          <w:p w:rsidR="00745B5C" w:rsidRPr="00F64276" w:rsidRDefault="00745B5C" w:rsidP="00452631">
            <w:pPr>
              <w:contextualSpacing/>
              <w:jc w:val="both"/>
              <w:rPr>
                <w:rFonts w:eastAsiaTheme="minorEastAsia"/>
                <w:i/>
              </w:rPr>
            </w:pPr>
            <w:r w:rsidRPr="00F64276">
              <w:rPr>
                <w:rFonts w:eastAsiaTheme="minorEastAsia"/>
                <w:i/>
              </w:rPr>
              <w:t>Max</w:t>
            </w:r>
          </w:p>
        </w:tc>
      </w:tr>
      <w:tr w:rsidR="00745B5C" w:rsidRPr="00F64276" w:rsidTr="00452631">
        <w:tc>
          <w:tcPr>
            <w:tcW w:w="4137" w:type="dxa"/>
            <w:tcBorders>
              <w:top w:val="single" w:sz="4" w:space="0" w:color="auto"/>
            </w:tcBorders>
          </w:tcPr>
          <w:p w:rsidR="00745B5C" w:rsidRPr="00F64276" w:rsidRDefault="00745B5C" w:rsidP="00452631">
            <w:pPr>
              <w:contextualSpacing/>
              <w:jc w:val="both"/>
              <w:rPr>
                <w:rFonts w:eastAsiaTheme="minorEastAsia"/>
                <w:i/>
              </w:rPr>
            </w:pPr>
            <w:r w:rsidRPr="00F64276">
              <w:rPr>
                <w:rFonts w:eastAsiaTheme="minorEastAsia"/>
                <w:i/>
              </w:rPr>
              <w:t>Returns to Precision</w:t>
            </w:r>
          </w:p>
        </w:tc>
        <w:tc>
          <w:tcPr>
            <w:tcW w:w="863" w:type="dxa"/>
            <w:tcBorders>
              <w:top w:val="single" w:sz="4" w:space="0" w:color="auto"/>
            </w:tcBorders>
          </w:tcPr>
          <w:p w:rsidR="00745B5C" w:rsidRPr="00F64276" w:rsidRDefault="00745B5C" w:rsidP="00452631">
            <w:pPr>
              <w:contextualSpacing/>
              <w:jc w:val="both"/>
              <w:rPr>
                <w:rFonts w:eastAsiaTheme="minorEastAsia"/>
              </w:rPr>
            </w:pPr>
          </w:p>
        </w:tc>
        <w:tc>
          <w:tcPr>
            <w:tcW w:w="876" w:type="dxa"/>
            <w:tcBorders>
              <w:top w:val="single" w:sz="4" w:space="0" w:color="auto"/>
            </w:tcBorders>
          </w:tcPr>
          <w:p w:rsidR="00745B5C" w:rsidRPr="00F64276" w:rsidRDefault="00745B5C" w:rsidP="00452631">
            <w:pPr>
              <w:contextualSpacing/>
              <w:jc w:val="both"/>
              <w:rPr>
                <w:rFonts w:eastAsiaTheme="minorEastAsia"/>
              </w:rPr>
            </w:pPr>
          </w:p>
        </w:tc>
        <w:tc>
          <w:tcPr>
            <w:tcW w:w="876" w:type="dxa"/>
            <w:tcBorders>
              <w:top w:val="single" w:sz="4" w:space="0" w:color="auto"/>
            </w:tcBorders>
          </w:tcPr>
          <w:p w:rsidR="00745B5C" w:rsidRPr="00F64276" w:rsidRDefault="00745B5C" w:rsidP="00452631">
            <w:pPr>
              <w:contextualSpacing/>
              <w:jc w:val="both"/>
              <w:rPr>
                <w:rFonts w:eastAsiaTheme="minorEastAsia"/>
              </w:rPr>
            </w:pPr>
          </w:p>
        </w:tc>
        <w:tc>
          <w:tcPr>
            <w:tcW w:w="911" w:type="dxa"/>
            <w:tcBorders>
              <w:top w:val="single" w:sz="4" w:space="0" w:color="auto"/>
            </w:tcBorders>
          </w:tcPr>
          <w:p w:rsidR="00745B5C" w:rsidRPr="00F64276" w:rsidRDefault="00745B5C" w:rsidP="00452631">
            <w:pPr>
              <w:contextualSpacing/>
              <w:jc w:val="both"/>
              <w:rPr>
                <w:rFonts w:eastAsiaTheme="minorEastAsia"/>
              </w:rPr>
            </w:pPr>
          </w:p>
        </w:tc>
        <w:tc>
          <w:tcPr>
            <w:tcW w:w="887" w:type="dxa"/>
            <w:tcBorders>
              <w:top w:val="single" w:sz="4" w:space="0" w:color="auto"/>
            </w:tcBorders>
          </w:tcPr>
          <w:p w:rsidR="00745B5C" w:rsidRPr="00F64276" w:rsidRDefault="00745B5C" w:rsidP="00452631">
            <w:pPr>
              <w:contextualSpacing/>
              <w:jc w:val="both"/>
              <w:rPr>
                <w:rFonts w:eastAsiaTheme="minorEastAsia"/>
              </w:rPr>
            </w:pP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Threshold of Estimative Precision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oMath>
            <w:r w:rsidRPr="00F64276">
              <w:rPr>
                <w:rFonts w:eastAsiaTheme="minorEastAsia"/>
              </w:rPr>
              <w:t>)</w:t>
            </w:r>
          </w:p>
        </w:tc>
        <w:tc>
          <w:tcPr>
            <w:tcW w:w="863" w:type="dxa"/>
          </w:tcPr>
          <w:p w:rsidR="00745B5C" w:rsidRPr="00F64276" w:rsidRDefault="00745B5C" w:rsidP="00452631">
            <w:pPr>
              <w:contextualSpacing/>
              <w:jc w:val="both"/>
              <w:rPr>
                <w:rFonts w:eastAsiaTheme="minorEastAsia"/>
              </w:rPr>
            </w:pPr>
            <w:r w:rsidRPr="00F64276">
              <w:rPr>
                <w:rFonts w:eastAsiaTheme="minorEastAsia"/>
              </w:rPr>
              <w:t>1,832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4.36</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8.03</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101.00</w:t>
            </w:r>
          </w:p>
        </w:tc>
      </w:tr>
      <w:tr w:rsidR="00745B5C" w:rsidRPr="00F64276" w:rsidTr="00452631">
        <w:tc>
          <w:tcPr>
            <w:tcW w:w="4137" w:type="dxa"/>
          </w:tcPr>
          <w:p w:rsidR="00745B5C" w:rsidRPr="00F64276" w:rsidRDefault="00745B5C" w:rsidP="00452631">
            <w:pPr>
              <w:contextualSpacing/>
              <w:jc w:val="both"/>
              <w:rPr>
                <w:rFonts w:eastAsiaTheme="minorEastAsia"/>
                <w:i/>
              </w:rPr>
            </w:pPr>
          </w:p>
        </w:tc>
        <w:tc>
          <w:tcPr>
            <w:tcW w:w="863" w:type="dxa"/>
          </w:tcPr>
          <w:p w:rsidR="00745B5C" w:rsidRPr="00F64276" w:rsidRDefault="00745B5C" w:rsidP="00452631">
            <w:pPr>
              <w:contextualSpacing/>
              <w:jc w:val="both"/>
              <w:rPr>
                <w:rFonts w:eastAsiaTheme="minorEastAsia"/>
              </w:rPr>
            </w:pPr>
          </w:p>
        </w:tc>
        <w:tc>
          <w:tcPr>
            <w:tcW w:w="876" w:type="dxa"/>
          </w:tcPr>
          <w:p w:rsidR="00745B5C" w:rsidRPr="00F64276" w:rsidRDefault="00745B5C" w:rsidP="00452631">
            <w:pPr>
              <w:tabs>
                <w:tab w:val="decimal" w:pos="400"/>
              </w:tabs>
              <w:contextualSpacing/>
              <w:jc w:val="both"/>
              <w:rPr>
                <w:rFonts w:eastAsiaTheme="minorEastAsia"/>
              </w:rPr>
            </w:pPr>
          </w:p>
        </w:tc>
        <w:tc>
          <w:tcPr>
            <w:tcW w:w="876" w:type="dxa"/>
          </w:tcPr>
          <w:p w:rsidR="00745B5C" w:rsidRPr="00F64276" w:rsidRDefault="00745B5C" w:rsidP="00452631">
            <w:pPr>
              <w:tabs>
                <w:tab w:val="decimal" w:pos="400"/>
              </w:tabs>
              <w:contextualSpacing/>
              <w:jc w:val="both"/>
              <w:rPr>
                <w:rFonts w:eastAsiaTheme="minorEastAsia"/>
              </w:rPr>
            </w:pPr>
          </w:p>
        </w:tc>
        <w:tc>
          <w:tcPr>
            <w:tcW w:w="911" w:type="dxa"/>
          </w:tcPr>
          <w:p w:rsidR="00745B5C" w:rsidRPr="00F64276" w:rsidRDefault="00745B5C" w:rsidP="00452631">
            <w:pPr>
              <w:tabs>
                <w:tab w:val="decimal" w:pos="400"/>
              </w:tabs>
              <w:contextualSpacing/>
              <w:jc w:val="both"/>
              <w:rPr>
                <w:rFonts w:eastAsiaTheme="minorEastAsia"/>
              </w:rPr>
            </w:pPr>
          </w:p>
        </w:tc>
        <w:tc>
          <w:tcPr>
            <w:tcW w:w="887" w:type="dxa"/>
          </w:tcPr>
          <w:p w:rsidR="00745B5C" w:rsidRPr="00F64276" w:rsidRDefault="00745B5C" w:rsidP="00452631">
            <w:pPr>
              <w:tabs>
                <w:tab w:val="decimal" w:pos="400"/>
              </w:tabs>
              <w:contextualSpacing/>
              <w:jc w:val="both"/>
              <w:rPr>
                <w:rFonts w:eastAsiaTheme="minorEastAsia"/>
              </w:rPr>
            </w:pPr>
          </w:p>
        </w:tc>
      </w:tr>
      <w:tr w:rsidR="00745B5C" w:rsidRPr="00F64276" w:rsidTr="00452631">
        <w:tc>
          <w:tcPr>
            <w:tcW w:w="4137" w:type="dxa"/>
          </w:tcPr>
          <w:p w:rsidR="00745B5C" w:rsidRPr="00F64276" w:rsidRDefault="00745B5C" w:rsidP="00452631">
            <w:pPr>
              <w:contextualSpacing/>
              <w:jc w:val="both"/>
              <w:rPr>
                <w:rFonts w:eastAsiaTheme="minorEastAsia"/>
                <w:i/>
              </w:rPr>
            </w:pPr>
            <w:r w:rsidRPr="00F64276">
              <w:rPr>
                <w:rFonts w:eastAsiaTheme="minorEastAsia"/>
                <w:i/>
              </w:rPr>
              <w:t>Targets for Cultivation</w:t>
            </w:r>
          </w:p>
        </w:tc>
        <w:tc>
          <w:tcPr>
            <w:tcW w:w="863" w:type="dxa"/>
          </w:tcPr>
          <w:p w:rsidR="00745B5C" w:rsidRPr="00F64276" w:rsidRDefault="00745B5C" w:rsidP="00452631">
            <w:pPr>
              <w:contextualSpacing/>
              <w:jc w:val="both"/>
              <w:rPr>
                <w:rFonts w:eastAsiaTheme="minorEastAsia"/>
              </w:rPr>
            </w:pPr>
          </w:p>
        </w:tc>
        <w:tc>
          <w:tcPr>
            <w:tcW w:w="876" w:type="dxa"/>
          </w:tcPr>
          <w:p w:rsidR="00745B5C" w:rsidRPr="00F64276" w:rsidRDefault="00745B5C" w:rsidP="00452631">
            <w:pPr>
              <w:tabs>
                <w:tab w:val="decimal" w:pos="400"/>
              </w:tabs>
              <w:contextualSpacing/>
              <w:jc w:val="both"/>
              <w:rPr>
                <w:rFonts w:eastAsiaTheme="minorEastAsia"/>
              </w:rPr>
            </w:pPr>
          </w:p>
        </w:tc>
        <w:tc>
          <w:tcPr>
            <w:tcW w:w="876" w:type="dxa"/>
          </w:tcPr>
          <w:p w:rsidR="00745B5C" w:rsidRPr="00F64276" w:rsidRDefault="00745B5C" w:rsidP="00452631">
            <w:pPr>
              <w:tabs>
                <w:tab w:val="decimal" w:pos="400"/>
              </w:tabs>
              <w:contextualSpacing/>
              <w:jc w:val="both"/>
              <w:rPr>
                <w:rFonts w:eastAsiaTheme="minorEastAsia"/>
              </w:rPr>
            </w:pPr>
          </w:p>
        </w:tc>
        <w:tc>
          <w:tcPr>
            <w:tcW w:w="911" w:type="dxa"/>
          </w:tcPr>
          <w:p w:rsidR="00745B5C" w:rsidRPr="00F64276" w:rsidRDefault="00745B5C" w:rsidP="00452631">
            <w:pPr>
              <w:tabs>
                <w:tab w:val="decimal" w:pos="400"/>
              </w:tabs>
              <w:contextualSpacing/>
              <w:jc w:val="both"/>
              <w:rPr>
                <w:rFonts w:eastAsiaTheme="minorEastAsia"/>
              </w:rPr>
            </w:pPr>
          </w:p>
        </w:tc>
        <w:tc>
          <w:tcPr>
            <w:tcW w:w="887" w:type="dxa"/>
          </w:tcPr>
          <w:p w:rsidR="00745B5C" w:rsidRPr="00F64276" w:rsidRDefault="00745B5C" w:rsidP="00452631">
            <w:pPr>
              <w:tabs>
                <w:tab w:val="decimal" w:pos="400"/>
              </w:tabs>
              <w:contextualSpacing/>
              <w:jc w:val="both"/>
              <w:rPr>
                <w:rFonts w:eastAsiaTheme="minorEastAsia"/>
              </w:rPr>
            </w:pP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Median Brier Score</w:t>
            </w:r>
          </w:p>
        </w:tc>
        <w:tc>
          <w:tcPr>
            <w:tcW w:w="863" w:type="dxa"/>
          </w:tcPr>
          <w:p w:rsidR="00745B5C" w:rsidRPr="00F64276" w:rsidRDefault="00745B5C" w:rsidP="00452631">
            <w:pPr>
              <w:contextualSpacing/>
              <w:jc w:val="both"/>
              <w:rPr>
                <w:rFonts w:eastAsiaTheme="minorEastAsia"/>
              </w:rPr>
            </w:pPr>
            <w:r w:rsidRPr="00F64276">
              <w:rPr>
                <w:rFonts w:eastAsiaTheme="minorEastAsia"/>
              </w:rPr>
              <w:t>1,832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0.06</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0.06</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Number of Questions</w:t>
            </w:r>
          </w:p>
        </w:tc>
        <w:tc>
          <w:tcPr>
            <w:tcW w:w="863" w:type="dxa"/>
          </w:tcPr>
          <w:p w:rsidR="00745B5C" w:rsidRPr="00F64276" w:rsidRDefault="00745B5C" w:rsidP="00452631">
            <w:pPr>
              <w:contextualSpacing/>
              <w:jc w:val="both"/>
              <w:rPr>
                <w:rFonts w:eastAsiaTheme="minorEastAsia"/>
              </w:rPr>
            </w:pPr>
            <w:r w:rsidRPr="00F64276">
              <w:rPr>
                <w:rFonts w:eastAsiaTheme="minorEastAsia"/>
              </w:rPr>
              <w:t>1,832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85.13</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62.92</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25.00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375.00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Average Revisions per Question</w:t>
            </w:r>
          </w:p>
        </w:tc>
        <w:tc>
          <w:tcPr>
            <w:tcW w:w="863" w:type="dxa"/>
          </w:tcPr>
          <w:p w:rsidR="00745B5C" w:rsidRPr="00F64276" w:rsidRDefault="00745B5C" w:rsidP="00452631">
            <w:pPr>
              <w:contextualSpacing/>
              <w:jc w:val="both"/>
              <w:rPr>
                <w:rFonts w:eastAsiaTheme="minorEastAsia"/>
              </w:rPr>
            </w:pPr>
            <w:r w:rsidRPr="00F64276">
              <w:rPr>
                <w:rFonts w:eastAsiaTheme="minorEastAsia"/>
              </w:rPr>
              <w:t>1,832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2.49</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5.03</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101.40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Granularity</w:t>
            </w:r>
          </w:p>
        </w:tc>
        <w:tc>
          <w:tcPr>
            <w:tcW w:w="863" w:type="dxa"/>
          </w:tcPr>
          <w:p w:rsidR="00745B5C" w:rsidRPr="00F64276" w:rsidRDefault="00745B5C" w:rsidP="00452631">
            <w:pPr>
              <w:contextualSpacing/>
              <w:jc w:val="both"/>
              <w:rPr>
                <w:rFonts w:eastAsiaTheme="minorEastAsia"/>
              </w:rPr>
            </w:pPr>
            <w:r w:rsidRPr="00F64276">
              <w:rPr>
                <w:rFonts w:eastAsiaTheme="minorEastAsia"/>
              </w:rPr>
              <w:t>1,832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0.50</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0.19</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Probabilistic Training </w:t>
            </w:r>
          </w:p>
        </w:tc>
        <w:tc>
          <w:tcPr>
            <w:tcW w:w="863" w:type="dxa"/>
          </w:tcPr>
          <w:p w:rsidR="00745B5C" w:rsidRPr="00F64276" w:rsidRDefault="00745B5C" w:rsidP="00452631">
            <w:pPr>
              <w:contextualSpacing/>
              <w:jc w:val="both"/>
              <w:rPr>
                <w:rFonts w:eastAsiaTheme="minorEastAsia"/>
              </w:rPr>
            </w:pPr>
            <w:r w:rsidRPr="00F64276">
              <w:rPr>
                <w:rFonts w:eastAsiaTheme="minorEastAsia"/>
              </w:rPr>
              <w:t>1,832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0.65</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0.48</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Group Collaboration</w:t>
            </w:r>
          </w:p>
        </w:tc>
        <w:tc>
          <w:tcPr>
            <w:tcW w:w="863" w:type="dxa"/>
          </w:tcPr>
          <w:p w:rsidR="00745B5C" w:rsidRPr="00F64276" w:rsidRDefault="00745B5C" w:rsidP="00452631">
            <w:pPr>
              <w:contextualSpacing/>
              <w:jc w:val="both"/>
              <w:rPr>
                <w:rFonts w:eastAsiaTheme="minorEastAsia"/>
              </w:rPr>
            </w:pPr>
            <w:r w:rsidRPr="00F64276">
              <w:rPr>
                <w:rFonts w:eastAsiaTheme="minorEastAsia"/>
              </w:rPr>
              <w:t>1,832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0.51</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0.50</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1.00</w:t>
            </w:r>
          </w:p>
        </w:tc>
      </w:tr>
      <w:tr w:rsidR="00745B5C" w:rsidRPr="00F64276" w:rsidTr="00452631">
        <w:tc>
          <w:tcPr>
            <w:tcW w:w="7663" w:type="dxa"/>
            <w:gridSpan w:val="5"/>
          </w:tcPr>
          <w:p w:rsidR="00745B5C" w:rsidRPr="00F64276" w:rsidRDefault="00745B5C" w:rsidP="00452631">
            <w:pPr>
              <w:tabs>
                <w:tab w:val="decimal" w:pos="400"/>
              </w:tabs>
              <w:contextualSpacing/>
              <w:jc w:val="both"/>
              <w:rPr>
                <w:rFonts w:eastAsiaTheme="minorEastAsia"/>
                <w:i/>
              </w:rPr>
            </w:pPr>
          </w:p>
        </w:tc>
        <w:tc>
          <w:tcPr>
            <w:tcW w:w="887" w:type="dxa"/>
          </w:tcPr>
          <w:p w:rsidR="00745B5C" w:rsidRPr="00F64276" w:rsidRDefault="00745B5C" w:rsidP="00452631">
            <w:pPr>
              <w:tabs>
                <w:tab w:val="decimal" w:pos="400"/>
              </w:tabs>
              <w:contextualSpacing/>
              <w:jc w:val="both"/>
              <w:rPr>
                <w:rFonts w:eastAsiaTheme="minorEastAsia"/>
              </w:rPr>
            </w:pPr>
          </w:p>
        </w:tc>
      </w:tr>
      <w:tr w:rsidR="00745B5C" w:rsidRPr="00F64276" w:rsidTr="00452631">
        <w:tc>
          <w:tcPr>
            <w:tcW w:w="7663" w:type="dxa"/>
            <w:gridSpan w:val="5"/>
          </w:tcPr>
          <w:p w:rsidR="00745B5C" w:rsidRPr="00F64276" w:rsidRDefault="00745B5C" w:rsidP="00452631">
            <w:pPr>
              <w:tabs>
                <w:tab w:val="decimal" w:pos="400"/>
              </w:tabs>
              <w:contextualSpacing/>
              <w:jc w:val="both"/>
              <w:rPr>
                <w:rFonts w:eastAsiaTheme="minorEastAsia"/>
              </w:rPr>
            </w:pPr>
            <w:r w:rsidRPr="00F64276">
              <w:rPr>
                <w:rFonts w:eastAsiaTheme="minorEastAsia"/>
                <w:i/>
              </w:rPr>
              <w:t>Targets for Selection</w:t>
            </w:r>
          </w:p>
        </w:tc>
        <w:tc>
          <w:tcPr>
            <w:tcW w:w="887" w:type="dxa"/>
          </w:tcPr>
          <w:p w:rsidR="00745B5C" w:rsidRPr="00F64276" w:rsidRDefault="00745B5C" w:rsidP="00452631">
            <w:pPr>
              <w:tabs>
                <w:tab w:val="decimal" w:pos="400"/>
              </w:tabs>
              <w:contextualSpacing/>
              <w:jc w:val="both"/>
              <w:rPr>
                <w:rFonts w:eastAsiaTheme="minorEastAsia"/>
              </w:rPr>
            </w:pP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Education Level </w:t>
            </w:r>
          </w:p>
        </w:tc>
        <w:tc>
          <w:tcPr>
            <w:tcW w:w="863" w:type="dxa"/>
          </w:tcPr>
          <w:p w:rsidR="00745B5C" w:rsidRPr="00F64276" w:rsidRDefault="00745B5C" w:rsidP="00452631">
            <w:pPr>
              <w:contextualSpacing/>
              <w:jc w:val="both"/>
              <w:rPr>
                <w:rFonts w:eastAsiaTheme="minorEastAsia"/>
              </w:rPr>
            </w:pPr>
            <w:r w:rsidRPr="00F64276">
              <w:rPr>
                <w:rFonts w:eastAsiaTheme="minorEastAsia"/>
              </w:rPr>
              <w:t>1,821</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1.78</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0.79</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3.00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Numeracy</w:t>
            </w:r>
          </w:p>
        </w:tc>
        <w:tc>
          <w:tcPr>
            <w:tcW w:w="863" w:type="dxa"/>
          </w:tcPr>
          <w:p w:rsidR="00745B5C" w:rsidRPr="00F64276" w:rsidRDefault="00745B5C" w:rsidP="00452631">
            <w:pPr>
              <w:contextualSpacing/>
              <w:jc w:val="both"/>
              <w:rPr>
                <w:rFonts w:eastAsiaTheme="minorEastAsia"/>
              </w:rPr>
            </w:pPr>
            <w:r w:rsidRPr="00F64276">
              <w:rPr>
                <w:rFonts w:eastAsiaTheme="minorEastAsia"/>
              </w:rPr>
              <w:t>1,817</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0.05</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0.91</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-4.80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1.11</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Raven’s Progressive Matrices</w:t>
            </w:r>
          </w:p>
        </w:tc>
        <w:tc>
          <w:tcPr>
            <w:tcW w:w="863" w:type="dxa"/>
          </w:tcPr>
          <w:p w:rsidR="00745B5C" w:rsidRPr="00F64276" w:rsidRDefault="00745B5C" w:rsidP="00452631">
            <w:pPr>
              <w:contextualSpacing/>
              <w:jc w:val="both"/>
              <w:rPr>
                <w:rFonts w:eastAsiaTheme="minorEastAsia"/>
              </w:rPr>
            </w:pPr>
            <w:r w:rsidRPr="00F64276">
              <w:rPr>
                <w:rFonts w:eastAsiaTheme="minorEastAsia"/>
              </w:rPr>
              <w:t>1,822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7.67</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2.72</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12.00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Cognitive Reflection Test</w:t>
            </w:r>
          </w:p>
        </w:tc>
        <w:tc>
          <w:tcPr>
            <w:tcW w:w="863" w:type="dxa"/>
          </w:tcPr>
          <w:p w:rsidR="00745B5C" w:rsidRPr="00F64276" w:rsidRDefault="00745B5C" w:rsidP="00452631">
            <w:pPr>
              <w:contextualSpacing/>
              <w:jc w:val="both"/>
              <w:rPr>
                <w:rFonts w:eastAsiaTheme="minorEastAsia"/>
              </w:rPr>
            </w:pPr>
            <w:r w:rsidRPr="00F64276">
              <w:rPr>
                <w:rFonts w:eastAsiaTheme="minorEastAsia"/>
              </w:rPr>
              <w:t>1,620</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-0.04</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0.78</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-3.41</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1.11</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Fox-Hedgehog</w:t>
            </w:r>
          </w:p>
        </w:tc>
        <w:tc>
          <w:tcPr>
            <w:tcW w:w="863" w:type="dxa"/>
          </w:tcPr>
          <w:p w:rsidR="00745B5C" w:rsidRPr="00F64276" w:rsidRDefault="00745B5C" w:rsidP="00452631">
            <w:pPr>
              <w:contextualSpacing/>
              <w:jc w:val="both"/>
              <w:rPr>
                <w:rFonts w:eastAsiaTheme="minorEastAsia"/>
              </w:rPr>
            </w:pPr>
            <w:r w:rsidRPr="00F64276">
              <w:rPr>
                <w:rFonts w:eastAsiaTheme="minorEastAsia"/>
              </w:rPr>
              <w:t>1,822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1.86</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1.15</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5.00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Need for Cognition</w:t>
            </w:r>
          </w:p>
        </w:tc>
        <w:tc>
          <w:tcPr>
            <w:tcW w:w="863" w:type="dxa"/>
          </w:tcPr>
          <w:p w:rsidR="00745B5C" w:rsidRPr="00F64276" w:rsidRDefault="00745B5C" w:rsidP="00452631">
            <w:pPr>
              <w:contextualSpacing/>
              <w:jc w:val="both"/>
              <w:rPr>
                <w:rFonts w:eastAsiaTheme="minorEastAsia"/>
              </w:rPr>
            </w:pPr>
            <w:r w:rsidRPr="00F64276">
              <w:rPr>
                <w:rFonts w:eastAsiaTheme="minorEastAsia"/>
              </w:rPr>
              <w:t>1,822</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5.05</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1.86</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7.00</w:t>
            </w:r>
          </w:p>
        </w:tc>
      </w:tr>
      <w:tr w:rsidR="00745B5C" w:rsidRPr="00F64276" w:rsidTr="00452631">
        <w:tc>
          <w:tcPr>
            <w:tcW w:w="4137" w:type="dxa"/>
          </w:tcPr>
          <w:p w:rsidR="00745B5C" w:rsidRPr="00F64276" w:rsidRDefault="00745B5C" w:rsidP="00452631">
            <w:pPr>
              <w:contextualSpacing/>
              <w:jc w:val="both"/>
              <w:rPr>
                <w:rFonts w:eastAsiaTheme="minorEastAsia"/>
              </w:rPr>
            </w:pPr>
          </w:p>
        </w:tc>
        <w:tc>
          <w:tcPr>
            <w:tcW w:w="863" w:type="dxa"/>
          </w:tcPr>
          <w:p w:rsidR="00745B5C" w:rsidRPr="00F64276" w:rsidRDefault="00745B5C" w:rsidP="00452631">
            <w:pPr>
              <w:contextualSpacing/>
              <w:jc w:val="both"/>
              <w:rPr>
                <w:rFonts w:eastAsiaTheme="minorEastAsia"/>
              </w:rPr>
            </w:pPr>
          </w:p>
        </w:tc>
        <w:tc>
          <w:tcPr>
            <w:tcW w:w="876" w:type="dxa"/>
          </w:tcPr>
          <w:p w:rsidR="00745B5C" w:rsidRPr="00F64276" w:rsidRDefault="00745B5C" w:rsidP="00452631">
            <w:pPr>
              <w:tabs>
                <w:tab w:val="decimal" w:pos="400"/>
              </w:tabs>
              <w:contextualSpacing/>
              <w:jc w:val="both"/>
              <w:rPr>
                <w:rFonts w:eastAsiaTheme="minorEastAsia"/>
              </w:rPr>
            </w:pPr>
          </w:p>
        </w:tc>
        <w:tc>
          <w:tcPr>
            <w:tcW w:w="876" w:type="dxa"/>
          </w:tcPr>
          <w:p w:rsidR="00745B5C" w:rsidRPr="00F64276" w:rsidRDefault="00745B5C" w:rsidP="00452631">
            <w:pPr>
              <w:tabs>
                <w:tab w:val="decimal" w:pos="400"/>
              </w:tabs>
              <w:contextualSpacing/>
              <w:jc w:val="both"/>
              <w:rPr>
                <w:rFonts w:eastAsiaTheme="minorEastAsia"/>
              </w:rPr>
            </w:pPr>
          </w:p>
        </w:tc>
        <w:tc>
          <w:tcPr>
            <w:tcW w:w="911" w:type="dxa"/>
          </w:tcPr>
          <w:p w:rsidR="00745B5C" w:rsidRPr="00F64276" w:rsidRDefault="00745B5C" w:rsidP="00452631">
            <w:pPr>
              <w:tabs>
                <w:tab w:val="decimal" w:pos="400"/>
              </w:tabs>
              <w:contextualSpacing/>
              <w:jc w:val="both"/>
              <w:rPr>
                <w:rFonts w:eastAsiaTheme="minorEastAsia"/>
              </w:rPr>
            </w:pPr>
          </w:p>
        </w:tc>
        <w:tc>
          <w:tcPr>
            <w:tcW w:w="887" w:type="dxa"/>
          </w:tcPr>
          <w:p w:rsidR="00745B5C" w:rsidRPr="00F64276" w:rsidRDefault="00745B5C" w:rsidP="00452631">
            <w:pPr>
              <w:tabs>
                <w:tab w:val="decimal" w:pos="400"/>
              </w:tabs>
              <w:contextualSpacing/>
              <w:jc w:val="both"/>
              <w:rPr>
                <w:rFonts w:eastAsiaTheme="minorEastAsia"/>
              </w:rPr>
            </w:pPr>
          </w:p>
        </w:tc>
      </w:tr>
      <w:tr w:rsidR="00745B5C" w:rsidRPr="00F64276" w:rsidTr="00452631">
        <w:tc>
          <w:tcPr>
            <w:tcW w:w="4137" w:type="dxa"/>
          </w:tcPr>
          <w:p w:rsidR="00745B5C" w:rsidRPr="00F64276" w:rsidRDefault="00745B5C" w:rsidP="00452631">
            <w:pPr>
              <w:contextualSpacing/>
              <w:jc w:val="both"/>
              <w:rPr>
                <w:rFonts w:eastAsiaTheme="minorEastAsia"/>
                <w:i/>
              </w:rPr>
            </w:pPr>
            <w:r w:rsidRPr="00F64276">
              <w:rPr>
                <w:rFonts w:eastAsiaTheme="minorEastAsia"/>
                <w:i/>
              </w:rPr>
              <w:t>Additional Controls</w:t>
            </w:r>
          </w:p>
        </w:tc>
        <w:tc>
          <w:tcPr>
            <w:tcW w:w="863" w:type="dxa"/>
          </w:tcPr>
          <w:p w:rsidR="00745B5C" w:rsidRPr="00F64276" w:rsidRDefault="00745B5C" w:rsidP="00452631">
            <w:pPr>
              <w:contextualSpacing/>
              <w:jc w:val="both"/>
              <w:rPr>
                <w:rFonts w:eastAsiaTheme="minorEastAsia"/>
              </w:rPr>
            </w:pPr>
          </w:p>
        </w:tc>
        <w:tc>
          <w:tcPr>
            <w:tcW w:w="876" w:type="dxa"/>
          </w:tcPr>
          <w:p w:rsidR="00745B5C" w:rsidRPr="00F64276" w:rsidRDefault="00745B5C" w:rsidP="00452631">
            <w:pPr>
              <w:tabs>
                <w:tab w:val="decimal" w:pos="400"/>
              </w:tabs>
              <w:contextualSpacing/>
              <w:jc w:val="both"/>
              <w:rPr>
                <w:rFonts w:eastAsiaTheme="minorEastAsia"/>
              </w:rPr>
            </w:pPr>
          </w:p>
        </w:tc>
        <w:tc>
          <w:tcPr>
            <w:tcW w:w="876" w:type="dxa"/>
          </w:tcPr>
          <w:p w:rsidR="00745B5C" w:rsidRPr="00F64276" w:rsidRDefault="00745B5C" w:rsidP="00452631">
            <w:pPr>
              <w:tabs>
                <w:tab w:val="decimal" w:pos="400"/>
              </w:tabs>
              <w:contextualSpacing/>
              <w:jc w:val="both"/>
              <w:rPr>
                <w:rFonts w:eastAsiaTheme="minorEastAsia"/>
              </w:rPr>
            </w:pPr>
          </w:p>
        </w:tc>
        <w:tc>
          <w:tcPr>
            <w:tcW w:w="911" w:type="dxa"/>
          </w:tcPr>
          <w:p w:rsidR="00745B5C" w:rsidRPr="00F64276" w:rsidRDefault="00745B5C" w:rsidP="00452631">
            <w:pPr>
              <w:tabs>
                <w:tab w:val="decimal" w:pos="400"/>
              </w:tabs>
              <w:contextualSpacing/>
              <w:jc w:val="both"/>
              <w:rPr>
                <w:rFonts w:eastAsiaTheme="minorEastAsia"/>
              </w:rPr>
            </w:pPr>
          </w:p>
        </w:tc>
        <w:tc>
          <w:tcPr>
            <w:tcW w:w="887" w:type="dxa"/>
          </w:tcPr>
          <w:p w:rsidR="00745B5C" w:rsidRPr="00F64276" w:rsidRDefault="00745B5C" w:rsidP="00452631">
            <w:pPr>
              <w:tabs>
                <w:tab w:val="decimal" w:pos="400"/>
              </w:tabs>
              <w:contextualSpacing/>
              <w:jc w:val="both"/>
              <w:rPr>
                <w:rFonts w:eastAsiaTheme="minorEastAsia"/>
              </w:rPr>
            </w:pP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Age</w:t>
            </w:r>
          </w:p>
        </w:tc>
        <w:tc>
          <w:tcPr>
            <w:tcW w:w="863" w:type="dxa"/>
          </w:tcPr>
          <w:p w:rsidR="00745B5C" w:rsidRPr="00F64276" w:rsidRDefault="00745B5C" w:rsidP="00452631">
            <w:pPr>
              <w:contextualSpacing/>
              <w:jc w:val="both"/>
              <w:rPr>
                <w:rFonts w:eastAsiaTheme="minorEastAsia"/>
              </w:rPr>
            </w:pPr>
            <w:r w:rsidRPr="00F64276">
              <w:rPr>
                <w:rFonts w:eastAsiaTheme="minorEastAsia"/>
              </w:rPr>
              <w:t>1,818</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39.58</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13.21</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20.00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91.00</w:t>
            </w:r>
          </w:p>
        </w:tc>
      </w:tr>
      <w:tr w:rsidR="00745B5C" w:rsidRPr="00F64276" w:rsidTr="00452631">
        <w:tc>
          <w:tcPr>
            <w:tcW w:w="4137" w:type="dxa"/>
          </w:tcPr>
          <w:p w:rsidR="00745B5C" w:rsidRPr="00F64276" w:rsidRDefault="00745B5C" w:rsidP="00452631">
            <w:pPr>
              <w:contextualSpacing/>
              <w:jc w:val="both"/>
              <w:rPr>
                <w:rFonts w:eastAsiaTheme="minorEastAsia"/>
              </w:rPr>
            </w:pPr>
            <w:r w:rsidRPr="00F64276">
              <w:rPr>
                <w:rFonts w:eastAsiaTheme="minorEastAsia"/>
              </w:rPr>
              <w:t xml:space="preserve">  Female</w:t>
            </w:r>
          </w:p>
        </w:tc>
        <w:tc>
          <w:tcPr>
            <w:tcW w:w="863" w:type="dxa"/>
          </w:tcPr>
          <w:p w:rsidR="00745B5C" w:rsidRPr="00F64276" w:rsidRDefault="00745B5C" w:rsidP="00452631">
            <w:pPr>
              <w:contextualSpacing/>
              <w:jc w:val="both"/>
              <w:rPr>
                <w:rFonts w:eastAsiaTheme="minorEastAsia"/>
              </w:rPr>
            </w:pPr>
            <w:r w:rsidRPr="00F64276">
              <w:rPr>
                <w:rFonts w:eastAsiaTheme="minorEastAsia"/>
              </w:rPr>
              <w:t>1,826</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0.17</w:t>
            </w:r>
          </w:p>
        </w:tc>
        <w:tc>
          <w:tcPr>
            <w:tcW w:w="876"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0.38</w:t>
            </w:r>
          </w:p>
        </w:tc>
        <w:tc>
          <w:tcPr>
            <w:tcW w:w="911"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Pr>
          <w:p w:rsidR="00745B5C" w:rsidRPr="00F64276" w:rsidRDefault="00745B5C" w:rsidP="00452631">
            <w:pPr>
              <w:tabs>
                <w:tab w:val="decimal" w:pos="400"/>
              </w:tabs>
              <w:contextualSpacing/>
              <w:jc w:val="both"/>
              <w:rPr>
                <w:rFonts w:eastAsiaTheme="minorEastAsia"/>
              </w:rPr>
            </w:pPr>
            <w:r w:rsidRPr="00F64276">
              <w:rPr>
                <w:rFonts w:eastAsiaTheme="minorEastAsia"/>
              </w:rPr>
              <w:t>1.00</w:t>
            </w:r>
          </w:p>
        </w:tc>
      </w:tr>
      <w:tr w:rsidR="00745B5C" w:rsidRPr="00F64276" w:rsidTr="00452631">
        <w:tc>
          <w:tcPr>
            <w:tcW w:w="4137" w:type="dxa"/>
            <w:tcBorders>
              <w:bottom w:val="single" w:sz="4" w:space="0" w:color="auto"/>
            </w:tcBorders>
          </w:tcPr>
          <w:p w:rsidR="00745B5C" w:rsidRPr="00F64276" w:rsidRDefault="00745B5C" w:rsidP="00452631">
            <w:pPr>
              <w:contextualSpacing/>
              <w:jc w:val="both"/>
              <w:rPr>
                <w:rFonts w:eastAsiaTheme="minorEastAsia"/>
              </w:rPr>
            </w:pPr>
            <w:r w:rsidRPr="00F64276">
              <w:rPr>
                <w:rFonts w:eastAsiaTheme="minorEastAsia"/>
              </w:rPr>
              <w:t xml:space="preserve">  Superforecaster</w:t>
            </w:r>
          </w:p>
        </w:tc>
        <w:tc>
          <w:tcPr>
            <w:tcW w:w="863" w:type="dxa"/>
            <w:tcBorders>
              <w:bottom w:val="single" w:sz="4" w:space="0" w:color="auto"/>
            </w:tcBorders>
          </w:tcPr>
          <w:p w:rsidR="00745B5C" w:rsidRPr="00F64276" w:rsidRDefault="00745B5C" w:rsidP="00452631">
            <w:pPr>
              <w:contextualSpacing/>
              <w:jc w:val="both"/>
              <w:rPr>
                <w:rFonts w:eastAsiaTheme="minorEastAsia"/>
              </w:rPr>
            </w:pPr>
            <w:r w:rsidRPr="00F64276">
              <w:rPr>
                <w:rFonts w:eastAsiaTheme="minorEastAsia"/>
              </w:rPr>
              <w:t>1,832</w:t>
            </w:r>
          </w:p>
        </w:tc>
        <w:tc>
          <w:tcPr>
            <w:tcW w:w="876" w:type="dxa"/>
            <w:tcBorders>
              <w:bottom w:val="single" w:sz="4" w:space="0" w:color="auto"/>
            </w:tcBorders>
          </w:tcPr>
          <w:p w:rsidR="00745B5C" w:rsidRPr="00F64276" w:rsidRDefault="00745B5C" w:rsidP="00452631">
            <w:pPr>
              <w:tabs>
                <w:tab w:val="decimal" w:pos="400"/>
              </w:tabs>
              <w:contextualSpacing/>
              <w:jc w:val="both"/>
              <w:rPr>
                <w:rFonts w:eastAsiaTheme="minorEastAsia"/>
              </w:rPr>
            </w:pPr>
            <w:r w:rsidRPr="00F64276">
              <w:rPr>
                <w:rFonts w:eastAsiaTheme="minorEastAsia"/>
              </w:rPr>
              <w:t>0.04</w:t>
            </w:r>
          </w:p>
        </w:tc>
        <w:tc>
          <w:tcPr>
            <w:tcW w:w="876" w:type="dxa"/>
            <w:tcBorders>
              <w:bottom w:val="single" w:sz="4" w:space="0" w:color="auto"/>
            </w:tcBorders>
          </w:tcPr>
          <w:p w:rsidR="00745B5C" w:rsidRPr="00F64276" w:rsidRDefault="00745B5C" w:rsidP="00452631">
            <w:pPr>
              <w:tabs>
                <w:tab w:val="decimal" w:pos="400"/>
              </w:tabs>
              <w:contextualSpacing/>
              <w:jc w:val="both"/>
              <w:rPr>
                <w:rFonts w:eastAsiaTheme="minorEastAsia"/>
              </w:rPr>
            </w:pPr>
            <w:r w:rsidRPr="00F64276">
              <w:rPr>
                <w:rFonts w:eastAsiaTheme="minorEastAsia"/>
              </w:rPr>
              <w:t>0.20</w:t>
            </w:r>
          </w:p>
        </w:tc>
        <w:tc>
          <w:tcPr>
            <w:tcW w:w="911" w:type="dxa"/>
            <w:tcBorders>
              <w:bottom w:val="single" w:sz="4" w:space="0" w:color="auto"/>
            </w:tcBorders>
          </w:tcPr>
          <w:p w:rsidR="00745B5C" w:rsidRPr="00F64276" w:rsidRDefault="00745B5C" w:rsidP="00452631">
            <w:pPr>
              <w:tabs>
                <w:tab w:val="decimal" w:pos="400"/>
              </w:tabs>
              <w:contextualSpacing/>
              <w:jc w:val="both"/>
              <w:rPr>
                <w:rFonts w:eastAsiaTheme="minorEastAsia"/>
              </w:rPr>
            </w:pPr>
            <w:r w:rsidRPr="00F64276">
              <w:rPr>
                <w:rFonts w:eastAsiaTheme="minorEastAsia"/>
              </w:rPr>
              <w:t>0.00</w:t>
            </w:r>
          </w:p>
        </w:tc>
        <w:tc>
          <w:tcPr>
            <w:tcW w:w="887" w:type="dxa"/>
            <w:tcBorders>
              <w:bottom w:val="single" w:sz="4" w:space="0" w:color="auto"/>
            </w:tcBorders>
          </w:tcPr>
          <w:p w:rsidR="00745B5C" w:rsidRPr="00F64276" w:rsidRDefault="00745B5C" w:rsidP="00452631">
            <w:pPr>
              <w:tabs>
                <w:tab w:val="decimal" w:pos="400"/>
              </w:tabs>
              <w:contextualSpacing/>
              <w:jc w:val="both"/>
              <w:rPr>
                <w:rFonts w:eastAsiaTheme="minorEastAsia"/>
              </w:rPr>
            </w:pPr>
            <w:r w:rsidRPr="00F64276">
              <w:rPr>
                <w:rFonts w:eastAsiaTheme="minorEastAsia"/>
              </w:rPr>
              <w:t>1.00</w:t>
            </w:r>
          </w:p>
        </w:tc>
      </w:tr>
      <w:tr w:rsidR="00745B5C" w:rsidRPr="00F64276" w:rsidTr="00452631">
        <w:tc>
          <w:tcPr>
            <w:tcW w:w="8550" w:type="dxa"/>
            <w:gridSpan w:val="6"/>
            <w:tcBorders>
              <w:top w:val="single" w:sz="4" w:space="0" w:color="auto"/>
            </w:tcBorders>
          </w:tcPr>
          <w:p w:rsidR="00745B5C" w:rsidRPr="00F64276" w:rsidRDefault="00745B5C" w:rsidP="00452631">
            <w:pPr>
              <w:contextualSpacing/>
              <w:rPr>
                <w:rFonts w:eastAsiaTheme="minorEastAsia"/>
              </w:rPr>
            </w:pPr>
            <w:r w:rsidRPr="00F64276">
              <w:rPr>
                <w:rFonts w:eastAsiaTheme="minorEastAsia"/>
              </w:rPr>
              <w:t xml:space="preserve">Twenty respondents’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oMath>
            <w:r w:rsidRPr="00F64276">
              <w:rPr>
                <w:rFonts w:eastAsiaTheme="minorEastAsia"/>
              </w:rPr>
              <w:t xml:space="preserve"> thresholds were Winsorized to 21 bins (i.e., the level of precision corresponding to increments of five percentage points) when estimating bivariate correlations, so as to reduce the impact of outliers.</w:t>
            </w:r>
          </w:p>
        </w:tc>
      </w:tr>
    </w:tbl>
    <w:p w:rsidR="00745B5C" w:rsidRPr="008A72CF" w:rsidRDefault="00745B5C" w:rsidP="00745B5C">
      <w:pPr>
        <w:rPr>
          <w:rFonts w:eastAsia="MS Mincho"/>
          <w:u w:val="single"/>
        </w:rPr>
      </w:pPr>
    </w:p>
    <w:p w:rsidR="00745B5C" w:rsidRPr="00F64276" w:rsidRDefault="00745B5C" w:rsidP="00745B5C">
      <w:pPr>
        <w:contextualSpacing/>
        <w:jc w:val="both"/>
        <w:rPr>
          <w:rFonts w:eastAsiaTheme="minorEastAsia"/>
        </w:rPr>
      </w:pPr>
    </w:p>
    <w:p w:rsidR="00046601" w:rsidRDefault="00046601"/>
    <w:sectPr w:rsidR="00046601" w:rsidSect="005C3D3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ABB" w:rsidRDefault="00DE6ABB" w:rsidP="00745B5C">
      <w:pPr>
        <w:spacing w:after="0"/>
      </w:pPr>
      <w:r>
        <w:separator/>
      </w:r>
    </w:p>
  </w:endnote>
  <w:endnote w:type="continuationSeparator" w:id="0">
    <w:p w:rsidR="00DE6ABB" w:rsidRDefault="00DE6ABB" w:rsidP="00745B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290673"/>
      <w:docPartObj>
        <w:docPartGallery w:val="Page Numbers (Bottom of Page)"/>
        <w:docPartUnique/>
      </w:docPartObj>
    </w:sdtPr>
    <w:sdtEndPr/>
    <w:sdtContent>
      <w:p w:rsidR="00AC00F0" w:rsidRDefault="00E562FF">
        <w:pPr>
          <w:pStyle w:val="Footer"/>
          <w:jc w:val="right"/>
        </w:pPr>
        <w:r>
          <w:fldChar w:fldCharType="begin"/>
        </w:r>
        <w:r>
          <w:instrText xml:space="preserve"> PAGE   \* MERGEFORMAT </w:instrText>
        </w:r>
        <w:r>
          <w:fldChar w:fldCharType="separate"/>
        </w:r>
        <w:r w:rsidR="00A24CE9">
          <w:rPr>
            <w:noProof/>
          </w:rPr>
          <w:t>1</w:t>
        </w:r>
        <w:r>
          <w:rPr>
            <w:noProof/>
          </w:rPr>
          <w:fldChar w:fldCharType="end"/>
        </w:r>
      </w:p>
    </w:sdtContent>
  </w:sdt>
  <w:p w:rsidR="00AC00F0" w:rsidRDefault="00DE6A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ABB" w:rsidRDefault="00DE6ABB" w:rsidP="00745B5C">
      <w:pPr>
        <w:spacing w:after="0"/>
      </w:pPr>
      <w:r>
        <w:separator/>
      </w:r>
    </w:p>
  </w:footnote>
  <w:footnote w:type="continuationSeparator" w:id="0">
    <w:p w:rsidR="00DE6ABB" w:rsidRDefault="00DE6ABB" w:rsidP="00745B5C">
      <w:pPr>
        <w:spacing w:after="0"/>
      </w:pPr>
      <w:r>
        <w:continuationSeparator/>
      </w:r>
    </w:p>
  </w:footnote>
  <w:footnote w:id="1">
    <w:p w:rsidR="00745B5C" w:rsidRPr="001632AA" w:rsidRDefault="00745B5C" w:rsidP="00745B5C">
      <w:pPr>
        <w:pStyle w:val="FootnoteText"/>
        <w:spacing w:line="360" w:lineRule="auto"/>
        <w:rPr>
          <w:sz w:val="24"/>
          <w:szCs w:val="24"/>
        </w:rPr>
      </w:pPr>
      <w:r w:rsidRPr="001632AA">
        <w:rPr>
          <w:rStyle w:val="FootnoteReference"/>
          <w:sz w:val="24"/>
          <w:szCs w:val="24"/>
        </w:rPr>
        <w:footnoteRef/>
      </w:r>
      <w:r w:rsidRPr="001632AA">
        <w:rPr>
          <w:sz w:val="24"/>
          <w:szCs w:val="24"/>
        </w:rPr>
        <w:t xml:space="preserve"> Here we provide information on the Good Judgment Project as a whole. Note that since we only used a subset of these data in our analysis (see paper for details) some of these descriptive statistics differ from what is presented in the manuscript. </w:t>
      </w:r>
    </w:p>
  </w:footnote>
  <w:footnote w:id="2">
    <w:p w:rsidR="00745B5C" w:rsidRPr="001632AA" w:rsidRDefault="00745B5C" w:rsidP="00745B5C">
      <w:pPr>
        <w:pStyle w:val="FootnoteText"/>
        <w:spacing w:line="360" w:lineRule="auto"/>
        <w:rPr>
          <w:sz w:val="24"/>
          <w:szCs w:val="24"/>
        </w:rPr>
      </w:pPr>
      <w:r w:rsidRPr="001632AA">
        <w:rPr>
          <w:rStyle w:val="FootnoteReference"/>
          <w:sz w:val="24"/>
          <w:szCs w:val="24"/>
        </w:rPr>
        <w:footnoteRef/>
      </w:r>
      <w:r w:rsidRPr="001632AA">
        <w:rPr>
          <w:sz w:val="24"/>
          <w:szCs w:val="24"/>
        </w:rPr>
        <w:t xml:space="preserve"> With a maximum of one forecast per day, recorded as a forecaster’s most recent estimate prior to midnight, U.S. Eastern Time.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14F0B"/>
    <w:multiLevelType w:val="hybridMultilevel"/>
    <w:tmpl w:val="45C6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62149"/>
    <w:multiLevelType w:val="hybridMultilevel"/>
    <w:tmpl w:val="12F0D276"/>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159E7A34"/>
    <w:multiLevelType w:val="multilevel"/>
    <w:tmpl w:val="4E80F4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37B78"/>
    <w:multiLevelType w:val="hybridMultilevel"/>
    <w:tmpl w:val="E28E146A"/>
    <w:lvl w:ilvl="0" w:tplc="190E71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08561B"/>
    <w:multiLevelType w:val="hybridMultilevel"/>
    <w:tmpl w:val="2C1ECDC4"/>
    <w:lvl w:ilvl="0" w:tplc="5412B6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B6E06"/>
    <w:multiLevelType w:val="hybridMultilevel"/>
    <w:tmpl w:val="1E26E434"/>
    <w:lvl w:ilvl="0" w:tplc="AF0618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30099"/>
    <w:multiLevelType w:val="hybridMultilevel"/>
    <w:tmpl w:val="45E2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F7BD5"/>
    <w:multiLevelType w:val="multilevel"/>
    <w:tmpl w:val="BA864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65688"/>
    <w:multiLevelType w:val="hybridMultilevel"/>
    <w:tmpl w:val="E4342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E6E55"/>
    <w:multiLevelType w:val="multilevel"/>
    <w:tmpl w:val="1778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733C5"/>
    <w:multiLevelType w:val="hybridMultilevel"/>
    <w:tmpl w:val="84B8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2D7746"/>
    <w:multiLevelType w:val="hybridMultilevel"/>
    <w:tmpl w:val="38FE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17AF1"/>
    <w:multiLevelType w:val="hybridMultilevel"/>
    <w:tmpl w:val="A4225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16314E"/>
    <w:multiLevelType w:val="hybridMultilevel"/>
    <w:tmpl w:val="7D382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4BBA7518"/>
    <w:multiLevelType w:val="hybridMultilevel"/>
    <w:tmpl w:val="EAF0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A51020"/>
    <w:multiLevelType w:val="hybridMultilevel"/>
    <w:tmpl w:val="B3762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C39DE"/>
    <w:multiLevelType w:val="hybridMultilevel"/>
    <w:tmpl w:val="554C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890C08"/>
    <w:multiLevelType w:val="hybridMultilevel"/>
    <w:tmpl w:val="87402D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BAC2AD2"/>
    <w:multiLevelType w:val="hybridMultilevel"/>
    <w:tmpl w:val="F08E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85B4F"/>
    <w:multiLevelType w:val="hybridMultilevel"/>
    <w:tmpl w:val="FD22B3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42D1A"/>
    <w:multiLevelType w:val="hybridMultilevel"/>
    <w:tmpl w:val="D460111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64014C14"/>
    <w:multiLevelType w:val="hybridMultilevel"/>
    <w:tmpl w:val="C88C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E00130"/>
    <w:multiLevelType w:val="hybridMultilevel"/>
    <w:tmpl w:val="E984FFD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B666503"/>
    <w:multiLevelType w:val="hybridMultilevel"/>
    <w:tmpl w:val="F166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0463E"/>
    <w:multiLevelType w:val="hybridMultilevel"/>
    <w:tmpl w:val="E086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CE7A98"/>
    <w:multiLevelType w:val="hybridMultilevel"/>
    <w:tmpl w:val="C8F0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C6A58"/>
    <w:multiLevelType w:val="multilevel"/>
    <w:tmpl w:val="F014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E9466B"/>
    <w:multiLevelType w:val="hybridMultilevel"/>
    <w:tmpl w:val="978E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851290"/>
    <w:multiLevelType w:val="hybridMultilevel"/>
    <w:tmpl w:val="BF4EB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5"/>
  </w:num>
  <w:num w:numId="4">
    <w:abstractNumId w:val="12"/>
  </w:num>
  <w:num w:numId="5">
    <w:abstractNumId w:val="19"/>
  </w:num>
  <w:num w:numId="6">
    <w:abstractNumId w:val="6"/>
  </w:num>
  <w:num w:numId="7">
    <w:abstractNumId w:val="13"/>
  </w:num>
  <w:num w:numId="8">
    <w:abstractNumId w:val="28"/>
  </w:num>
  <w:num w:numId="9">
    <w:abstractNumId w:val="20"/>
  </w:num>
  <w:num w:numId="10">
    <w:abstractNumId w:val="0"/>
  </w:num>
  <w:num w:numId="11">
    <w:abstractNumId w:val="9"/>
  </w:num>
  <w:num w:numId="12">
    <w:abstractNumId w:val="4"/>
  </w:num>
  <w:num w:numId="13">
    <w:abstractNumId w:val="18"/>
  </w:num>
  <w:num w:numId="14">
    <w:abstractNumId w:val="2"/>
  </w:num>
  <w:num w:numId="15">
    <w:abstractNumId w:val="11"/>
  </w:num>
  <w:num w:numId="16">
    <w:abstractNumId w:val="27"/>
  </w:num>
  <w:num w:numId="17">
    <w:abstractNumId w:val="1"/>
  </w:num>
  <w:num w:numId="18">
    <w:abstractNumId w:val="7"/>
  </w:num>
  <w:num w:numId="19">
    <w:abstractNumId w:val="8"/>
  </w:num>
  <w:num w:numId="20">
    <w:abstractNumId w:val="24"/>
  </w:num>
  <w:num w:numId="21">
    <w:abstractNumId w:val="21"/>
  </w:num>
  <w:num w:numId="22">
    <w:abstractNumId w:val="26"/>
  </w:num>
  <w:num w:numId="23">
    <w:abstractNumId w:val="17"/>
  </w:num>
  <w:num w:numId="24">
    <w:abstractNumId w:val="16"/>
  </w:num>
  <w:num w:numId="25">
    <w:abstractNumId w:val="23"/>
  </w:num>
  <w:num w:numId="26">
    <w:abstractNumId w:val="25"/>
  </w:num>
  <w:num w:numId="27">
    <w:abstractNumId w:val="10"/>
  </w:num>
  <w:num w:numId="28">
    <w:abstractNumId w:val="1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B5C"/>
    <w:rsid w:val="00046601"/>
    <w:rsid w:val="000475EB"/>
    <w:rsid w:val="000E521C"/>
    <w:rsid w:val="003C4883"/>
    <w:rsid w:val="005B65C7"/>
    <w:rsid w:val="00661726"/>
    <w:rsid w:val="007377BF"/>
    <w:rsid w:val="00745B5C"/>
    <w:rsid w:val="007B517E"/>
    <w:rsid w:val="00A24CE9"/>
    <w:rsid w:val="00DE6ABB"/>
    <w:rsid w:val="00E56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30A2AF-F80D-48E1-B48B-75809C0B8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B5C"/>
    <w:pPr>
      <w:spacing w:after="200" w:line="240" w:lineRule="auto"/>
    </w:pPr>
    <w:rPr>
      <w:rFonts w:cs="Times New Roman"/>
      <w:szCs w:val="24"/>
    </w:rPr>
  </w:style>
  <w:style w:type="paragraph" w:styleId="Heading1">
    <w:name w:val="heading 1"/>
    <w:basedOn w:val="Normal"/>
    <w:link w:val="Heading1Char"/>
    <w:uiPriority w:val="9"/>
    <w:qFormat/>
    <w:rsid w:val="00745B5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B5C"/>
    <w:rPr>
      <w:rFonts w:eastAsia="Times New Roman" w:cs="Times New Roman"/>
      <w:b/>
      <w:bCs/>
      <w:kern w:val="36"/>
      <w:sz w:val="48"/>
      <w:szCs w:val="48"/>
    </w:rPr>
  </w:style>
  <w:style w:type="paragraph" w:styleId="ListParagraph">
    <w:name w:val="List Paragraph"/>
    <w:basedOn w:val="Normal"/>
    <w:uiPriority w:val="34"/>
    <w:qFormat/>
    <w:rsid w:val="00745B5C"/>
    <w:pPr>
      <w:ind w:left="720"/>
      <w:contextualSpacing/>
    </w:pPr>
  </w:style>
  <w:style w:type="paragraph" w:styleId="FootnoteText">
    <w:name w:val="footnote text"/>
    <w:basedOn w:val="Normal"/>
    <w:link w:val="FootnoteTextChar"/>
    <w:uiPriority w:val="99"/>
    <w:unhideWhenUsed/>
    <w:rsid w:val="00745B5C"/>
    <w:pPr>
      <w:spacing w:after="0"/>
    </w:pPr>
    <w:rPr>
      <w:sz w:val="20"/>
      <w:szCs w:val="20"/>
    </w:rPr>
  </w:style>
  <w:style w:type="character" w:customStyle="1" w:styleId="FootnoteTextChar">
    <w:name w:val="Footnote Text Char"/>
    <w:basedOn w:val="DefaultParagraphFont"/>
    <w:link w:val="FootnoteText"/>
    <w:uiPriority w:val="99"/>
    <w:rsid w:val="00745B5C"/>
    <w:rPr>
      <w:rFonts w:cs="Times New Roman"/>
      <w:sz w:val="20"/>
      <w:szCs w:val="20"/>
    </w:rPr>
  </w:style>
  <w:style w:type="character" w:customStyle="1" w:styleId="apple-converted-space">
    <w:name w:val="apple-converted-space"/>
    <w:basedOn w:val="DefaultParagraphFont"/>
    <w:rsid w:val="00745B5C"/>
  </w:style>
  <w:style w:type="character" w:styleId="Hyperlink">
    <w:name w:val="Hyperlink"/>
    <w:basedOn w:val="DefaultParagraphFont"/>
    <w:uiPriority w:val="99"/>
    <w:unhideWhenUsed/>
    <w:rsid w:val="00745B5C"/>
    <w:rPr>
      <w:color w:val="0000FF"/>
      <w:u w:val="single"/>
    </w:rPr>
  </w:style>
  <w:style w:type="character" w:styleId="FootnoteReference">
    <w:name w:val="footnote reference"/>
    <w:basedOn w:val="DefaultParagraphFont"/>
    <w:uiPriority w:val="99"/>
    <w:unhideWhenUsed/>
    <w:rsid w:val="00745B5C"/>
    <w:rPr>
      <w:vertAlign w:val="superscript"/>
    </w:rPr>
  </w:style>
  <w:style w:type="character" w:styleId="CommentReference">
    <w:name w:val="annotation reference"/>
    <w:basedOn w:val="DefaultParagraphFont"/>
    <w:uiPriority w:val="99"/>
    <w:semiHidden/>
    <w:unhideWhenUsed/>
    <w:rsid w:val="00745B5C"/>
    <w:rPr>
      <w:sz w:val="16"/>
      <w:szCs w:val="16"/>
    </w:rPr>
  </w:style>
  <w:style w:type="paragraph" w:styleId="CommentText">
    <w:name w:val="annotation text"/>
    <w:basedOn w:val="Normal"/>
    <w:link w:val="CommentTextChar"/>
    <w:uiPriority w:val="99"/>
    <w:unhideWhenUsed/>
    <w:rsid w:val="00745B5C"/>
    <w:rPr>
      <w:sz w:val="20"/>
      <w:szCs w:val="20"/>
    </w:rPr>
  </w:style>
  <w:style w:type="character" w:customStyle="1" w:styleId="CommentTextChar">
    <w:name w:val="Comment Text Char"/>
    <w:basedOn w:val="DefaultParagraphFont"/>
    <w:link w:val="CommentText"/>
    <w:uiPriority w:val="99"/>
    <w:rsid w:val="00745B5C"/>
    <w:rPr>
      <w:rFonts w:cs="Times New Roman"/>
      <w:sz w:val="20"/>
      <w:szCs w:val="20"/>
    </w:rPr>
  </w:style>
  <w:style w:type="paragraph" w:styleId="BalloonText">
    <w:name w:val="Balloon Text"/>
    <w:basedOn w:val="Normal"/>
    <w:link w:val="BalloonTextChar"/>
    <w:uiPriority w:val="99"/>
    <w:semiHidden/>
    <w:unhideWhenUsed/>
    <w:rsid w:val="00745B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B5C"/>
    <w:rPr>
      <w:rFonts w:ascii="Tahoma" w:hAnsi="Tahoma" w:cs="Tahoma"/>
      <w:sz w:val="16"/>
      <w:szCs w:val="16"/>
    </w:rPr>
  </w:style>
  <w:style w:type="paragraph" w:styleId="Header">
    <w:name w:val="header"/>
    <w:basedOn w:val="Normal"/>
    <w:link w:val="HeaderChar"/>
    <w:uiPriority w:val="99"/>
    <w:unhideWhenUsed/>
    <w:rsid w:val="00745B5C"/>
    <w:pPr>
      <w:tabs>
        <w:tab w:val="center" w:pos="4680"/>
        <w:tab w:val="right" w:pos="9360"/>
      </w:tabs>
      <w:spacing w:after="0"/>
    </w:pPr>
  </w:style>
  <w:style w:type="character" w:customStyle="1" w:styleId="HeaderChar">
    <w:name w:val="Header Char"/>
    <w:basedOn w:val="DefaultParagraphFont"/>
    <w:link w:val="Header"/>
    <w:uiPriority w:val="99"/>
    <w:rsid w:val="00745B5C"/>
    <w:rPr>
      <w:rFonts w:cs="Times New Roman"/>
      <w:szCs w:val="24"/>
    </w:rPr>
  </w:style>
  <w:style w:type="paragraph" w:styleId="Footer">
    <w:name w:val="footer"/>
    <w:basedOn w:val="Normal"/>
    <w:link w:val="FooterChar"/>
    <w:uiPriority w:val="99"/>
    <w:unhideWhenUsed/>
    <w:rsid w:val="00745B5C"/>
    <w:pPr>
      <w:tabs>
        <w:tab w:val="center" w:pos="4680"/>
        <w:tab w:val="right" w:pos="9360"/>
      </w:tabs>
      <w:spacing w:after="0"/>
    </w:pPr>
  </w:style>
  <w:style w:type="character" w:customStyle="1" w:styleId="FooterChar">
    <w:name w:val="Footer Char"/>
    <w:basedOn w:val="DefaultParagraphFont"/>
    <w:link w:val="Footer"/>
    <w:uiPriority w:val="99"/>
    <w:rsid w:val="00745B5C"/>
    <w:rPr>
      <w:rFonts w:cs="Times New Roman"/>
      <w:szCs w:val="24"/>
    </w:rPr>
  </w:style>
  <w:style w:type="paragraph" w:styleId="NoSpacing">
    <w:name w:val="No Spacing"/>
    <w:uiPriority w:val="1"/>
    <w:qFormat/>
    <w:rsid w:val="00745B5C"/>
    <w:pPr>
      <w:spacing w:after="0" w:line="240" w:lineRule="auto"/>
      <w:jc w:val="center"/>
    </w:pPr>
    <w:rPr>
      <w:rFonts w:asciiTheme="minorHAnsi" w:hAnsiTheme="minorHAnsi"/>
      <w:sz w:val="22"/>
    </w:rPr>
  </w:style>
  <w:style w:type="paragraph" w:styleId="CommentSubject">
    <w:name w:val="annotation subject"/>
    <w:basedOn w:val="CommentText"/>
    <w:next w:val="CommentText"/>
    <w:link w:val="CommentSubjectChar"/>
    <w:uiPriority w:val="99"/>
    <w:semiHidden/>
    <w:unhideWhenUsed/>
    <w:rsid w:val="00745B5C"/>
    <w:rPr>
      <w:b/>
      <w:bCs/>
    </w:rPr>
  </w:style>
  <w:style w:type="character" w:customStyle="1" w:styleId="CommentSubjectChar">
    <w:name w:val="Comment Subject Char"/>
    <w:basedOn w:val="CommentTextChar"/>
    <w:link w:val="CommentSubject"/>
    <w:uiPriority w:val="99"/>
    <w:semiHidden/>
    <w:rsid w:val="00745B5C"/>
    <w:rPr>
      <w:rFonts w:cs="Times New Roman"/>
      <w:b/>
      <w:bCs/>
      <w:sz w:val="20"/>
      <w:szCs w:val="20"/>
    </w:rPr>
  </w:style>
  <w:style w:type="character" w:styleId="PlaceholderText">
    <w:name w:val="Placeholder Text"/>
    <w:basedOn w:val="DefaultParagraphFont"/>
    <w:uiPriority w:val="99"/>
    <w:semiHidden/>
    <w:rsid w:val="00745B5C"/>
    <w:rPr>
      <w:color w:val="808080"/>
    </w:rPr>
  </w:style>
  <w:style w:type="paragraph" w:styleId="NormalWeb">
    <w:name w:val="Normal (Web)"/>
    <w:basedOn w:val="Normal"/>
    <w:uiPriority w:val="99"/>
    <w:semiHidden/>
    <w:unhideWhenUsed/>
    <w:rsid w:val="00745B5C"/>
    <w:pPr>
      <w:spacing w:before="100" w:beforeAutospacing="1" w:after="100" w:afterAutospacing="1"/>
    </w:pPr>
    <w:rPr>
      <w:rFonts w:eastAsia="Times New Roman"/>
    </w:rPr>
  </w:style>
  <w:style w:type="paragraph" w:customStyle="1" w:styleId="Default">
    <w:name w:val="Default"/>
    <w:rsid w:val="00745B5C"/>
    <w:pPr>
      <w:autoSpaceDE w:val="0"/>
      <w:autoSpaceDN w:val="0"/>
      <w:adjustRightInd w:val="0"/>
      <w:spacing w:after="0" w:line="240" w:lineRule="auto"/>
    </w:pPr>
    <w:rPr>
      <w:rFonts w:cs="Times New Roman"/>
      <w:color w:val="000000"/>
      <w:szCs w:val="24"/>
    </w:rPr>
  </w:style>
  <w:style w:type="table" w:styleId="TableGrid">
    <w:name w:val="Table Grid"/>
    <w:basedOn w:val="TableNormal"/>
    <w:uiPriority w:val="59"/>
    <w:rsid w:val="00745B5C"/>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45B5C"/>
    <w:rPr>
      <w:b/>
      <w:bCs/>
    </w:rPr>
  </w:style>
  <w:style w:type="character" w:customStyle="1" w:styleId="tgc">
    <w:name w:val="_tgc"/>
    <w:basedOn w:val="DefaultParagraphFont"/>
    <w:rsid w:val="00745B5C"/>
  </w:style>
  <w:style w:type="character" w:styleId="Emphasis">
    <w:name w:val="Emphasis"/>
    <w:basedOn w:val="DefaultParagraphFont"/>
    <w:uiPriority w:val="20"/>
    <w:qFormat/>
    <w:rsid w:val="00745B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22</Pages>
  <Words>4165</Words>
  <Characters>23741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Jeffrey A. Friedman</cp:lastModifiedBy>
  <cp:revision>6</cp:revision>
  <dcterms:created xsi:type="dcterms:W3CDTF">2017-02-07T23:08:00Z</dcterms:created>
  <dcterms:modified xsi:type="dcterms:W3CDTF">2017-02-28T14:52:00Z</dcterms:modified>
</cp:coreProperties>
</file>